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cquisition_ppe_261021.htm"/>
      <w:bookmarkStart w:id="1" w:name="ksacquisition_ppe_261021"/>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October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81" w:type="dxa"/>
        <w:jc w:val="left"/>
        <w:tblInd w:w="0" w:type="dxa"/>
        <w:tblLayout w:type="fixed"/>
        <w:tblCellMar>
          <w:top w:w="28" w:type="dxa"/>
          <w:left w:w="28" w:type="dxa"/>
          <w:bottom w:w="28" w:type="dxa"/>
          <w:right w:w="28" w:type="dxa"/>
        </w:tblCellMar>
      </w:tblPr>
      <w:tblGrid>
        <w:gridCol w:w="2326"/>
        <w:gridCol w:w="109"/>
        <w:gridCol w:w="146"/>
        <w:gridCol w:w="109"/>
        <w:gridCol w:w="721"/>
        <w:gridCol w:w="109"/>
        <w:gridCol w:w="3361"/>
      </w:tblGrid>
      <w:tr>
        <w:trPr/>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2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2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October 21,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Below is the English version of our filing at Market Observation Post System (MOPS) of Taiwan Stock Exchange Corporation (TWSE) on October 21, 2026.</w:t>
      </w:r>
    </w:p>
    <w:p>
      <w:pPr>
        <w:pStyle w:val="TextBody"/>
        <w:bidi w:val="0"/>
        <w:spacing w:before="120" w:after="283"/>
        <w:jc w:val="left"/>
        <w:rPr>
          <w:rFonts w:ascii="Times New Roman" w:hAnsi="Times New Roman"/>
          <w:sz w:val="22"/>
        </w:rPr>
      </w:pPr>
      <w:r>
        <w:rPr>
          <w:rFonts w:ascii="Times New Roman" w:hAnsi="Times New Roman"/>
          <w:b/>
          <w:color w:val="000000"/>
          <w:sz w:val="22"/>
        </w:rPr>
        <w:t>Date of announcement:</w:t>
      </w:r>
      <w:r>
        <w:rPr>
          <w:rFonts w:ascii="Times New Roman" w:hAnsi="Times New Roman"/>
          <w:color w:val="000000"/>
          <w:sz w:val="22"/>
        </w:rPr>
        <w:t xml:space="preserve"> 2026/10/21</w:t>
      </w:r>
    </w:p>
    <w:p>
      <w:pPr>
        <w:pStyle w:val="TextBody"/>
        <w:bidi w:val="0"/>
        <w:spacing w:before="120" w:after="283"/>
        <w:jc w:val="left"/>
        <w:rPr>
          <w:rFonts w:ascii="Times New Roman" w:hAnsi="Times New Roman"/>
          <w:sz w:val="22"/>
        </w:rPr>
      </w:pPr>
      <w:r>
        <w:rPr>
          <w:rFonts w:ascii="Times New Roman" w:hAnsi="Times New Roman"/>
          <w:b/>
          <w:color w:val="000000"/>
          <w:sz w:val="22"/>
        </w:rPr>
        <w:t>Subject:</w:t>
      </w:r>
      <w:r>
        <w:rPr>
          <w:rFonts w:ascii="Times New Roman" w:hAnsi="Times New Roman"/>
          <w:color w:val="000000"/>
          <w:sz w:val="22"/>
        </w:rPr>
        <w:t xml:space="preserve"> The acquisition and disposal of machinery equipment and related accessories</w:t>
      </w:r>
    </w:p>
    <w:p>
      <w:pPr>
        <w:pStyle w:val="TextBody"/>
        <w:bidi w:val="0"/>
        <w:spacing w:before="120" w:after="283"/>
        <w:jc w:val="left"/>
        <w:rPr>
          <w:rFonts w:ascii="Times New Roman" w:hAnsi="Times New Roman"/>
          <w:sz w:val="22"/>
        </w:rPr>
      </w:pPr>
      <w:r>
        <w:rPr>
          <w:rFonts w:ascii="Times New Roman" w:hAnsi="Times New Roman"/>
          <w:b/>
          <w:color w:val="000000"/>
          <w:sz w:val="22"/>
        </w:rPr>
        <w:t>Date of events:</w:t>
      </w:r>
      <w:r>
        <w:rPr>
          <w:rFonts w:ascii="Times New Roman" w:hAnsi="Times New Roman"/>
          <w:color w:val="000000"/>
          <w:sz w:val="22"/>
        </w:rPr>
        <w:t xml:space="preserve"> 2026/10/21</w:t>
      </w:r>
    </w:p>
    <w:p>
      <w:pPr>
        <w:pStyle w:val="TextBody"/>
        <w:bidi w:val="0"/>
        <w:spacing w:before="120" w:after="283"/>
        <w:jc w:val="both"/>
        <w:rPr>
          <w:rFonts w:ascii="Times New Roman" w:hAnsi="Times New Roman"/>
          <w:sz w:val="22"/>
        </w:rPr>
      </w:pPr>
      <w:r>
        <w:rPr>
          <w:rFonts w:ascii="Times New Roman" w:hAnsi="Times New Roman"/>
          <w:b/>
          <w:color w:val="000000"/>
          <w:sz w:val="22"/>
        </w:rPr>
        <w:t>To which item it meets:</w:t>
      </w:r>
      <w:r>
        <w:rPr>
          <w:rFonts w:ascii="Times New Roman" w:hAnsi="Times New Roman"/>
          <w:color w:val="000000"/>
          <w:sz w:val="22"/>
        </w:rPr>
        <w:t xml:space="preserve"> Article 4, Paragraph 1, Item 20 of the Taiwan Stock Exchange Corporation Procedures for Verification and Disclosure of Material Information of Companies with Listed Securities (pursuant to which it is a material information for the Company to acquire and disposal equipment for business purposes from a party that is not a related party, which transaction amount exceeds NT$500 million)</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Statement:</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Name and nature of the underlying asset (e.g., land located at Sublot XX, Lot XX, North District, Taichung City): Machinery equipment and related accessories</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Date of occurrence of the event: 2026/03/15~2026/10/21</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Date of the board of directors resolution: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Other approval date: 2026/10/21 (approval level: President of the Company).</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Transaction unit amount (e.g. XX square meters, equivalent to XX ping), unit price, and total transaction price:</w:t>
      </w:r>
    </w:p>
    <w:p>
      <w:pPr>
        <w:pStyle w:val="TextBody"/>
        <w:bidi w:val="0"/>
        <w:spacing w:before="120" w:after="283"/>
        <w:ind w:left="1209" w:right="0" w:hanging="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acquisition of machinery equipment and related accessories with a total transaction price of NT$1,237,950 thousand.</w:t>
      </w:r>
    </w:p>
    <w:p>
      <w:pPr>
        <w:pStyle w:val="TextBody"/>
        <w:bidi w:val="0"/>
        <w:spacing w:before="120" w:after="283"/>
        <w:ind w:left="1209" w:right="0" w:hanging="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disposal of machinery equipment and related accessories with a total transaction price of NT$58,557 thousand.</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Trading counterparty and its relationship with the Company (if the trading counterparty is a natural person and furthermore is not a related party of the Company, the name of the trading counterparty is not required to be disclosed):</w:t>
      </w:r>
    </w:p>
    <w:p>
      <w:pPr>
        <w:pStyle w:val="TextBody"/>
        <w:bidi w:val="0"/>
        <w:ind w:left="1008" w:right="0" w:hanging="0"/>
        <w:jc w:val="both"/>
        <w:rPr>
          <w:rFonts w:ascii="Times New Roman" w:hAnsi="Times New Roman"/>
          <w:color w:val="000000"/>
          <w:sz w:val="22"/>
        </w:rPr>
      </w:pPr>
      <w:r>
        <w:rPr>
          <w:rFonts w:ascii="Times New Roman" w:hAnsi="Times New Roman"/>
          <w:color w:val="000000"/>
          <w:sz w:val="22"/>
        </w:rPr>
        <w:t>Trading counterparty: K-SHINE ELECTRONIC CORPORATION</w:t>
      </w:r>
    </w:p>
    <w:p>
      <w:pPr>
        <w:pStyle w:val="TextBody"/>
        <w:bidi w:val="0"/>
        <w:ind w:left="1008" w:right="0" w:hanging="0"/>
        <w:jc w:val="both"/>
        <w:rPr>
          <w:rFonts w:ascii="Times New Roman" w:hAnsi="Times New Roman"/>
          <w:color w:val="000000"/>
          <w:sz w:val="22"/>
        </w:rPr>
      </w:pPr>
      <w:r>
        <w:rPr>
          <w:rFonts w:ascii="Times New Roman" w:hAnsi="Times New Roman"/>
          <w:color w:val="000000"/>
          <w:sz w:val="22"/>
        </w:rPr>
        <w:t>Relation with the Company: None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7.</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Where the trading counterparty is a related party, announcement shall also be made of the reason for choosing the related party as trading counterparty and the identity of the previous owner, its relationship with the Company and the trading counterparty, and the previous date and monetary amount of transfer: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8.</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Where an owner of the underlying assets within the past five years has been a related party of the Company, the announcement shall also include the date and price of acquisition and disposal by the related party, and its relationship with the Company at the time of the transaction: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9.</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Projected gain (or loss) through disposal (not applicable for acquisition of assets; those with deferral should provide a table explaining recognition): </w:t>
      </w:r>
    </w:p>
    <w:p>
      <w:pPr>
        <w:pStyle w:val="TextBody"/>
        <w:bidi w:val="0"/>
        <w:ind w:left="1008" w:right="0" w:hanging="0"/>
        <w:jc w:val="both"/>
        <w:rPr>
          <w:rFonts w:ascii="Times New Roman" w:hAnsi="Times New Roman"/>
          <w:color w:val="000000"/>
          <w:sz w:val="22"/>
        </w:rPr>
      </w:pPr>
      <w:r>
        <w:rPr>
          <w:rFonts w:ascii="Times New Roman" w:hAnsi="Times New Roman"/>
          <w:color w:val="000000"/>
          <w:sz w:val="22"/>
        </w:rPr>
        <w:t>Projected gain: NT$37,904 thousand for disposal of machinery equipment and related accessories per paragraph 5.b.</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10.</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Terms of delivery or payment (including payment period and monetary amount), restrictive covenants in the contract, and other important terms and conditions: </w:t>
      </w:r>
    </w:p>
    <w:p>
      <w:pPr>
        <w:pStyle w:val="TextBody"/>
        <w:bidi w:val="0"/>
        <w:ind w:left="1008" w:right="0" w:hanging="0"/>
        <w:jc w:val="both"/>
        <w:rPr>
          <w:rFonts w:ascii="Times New Roman" w:hAnsi="Times New Roman"/>
          <w:color w:val="000000"/>
          <w:sz w:val="22"/>
        </w:rPr>
      </w:pPr>
      <w:r>
        <w:rPr>
          <w:rFonts w:ascii="Times New Roman" w:hAnsi="Times New Roman"/>
          <w:color w:val="000000"/>
          <w:sz w:val="22"/>
        </w:rPr>
        <w:t>The Company will perform pursuant to the terms and conditions set forth in the purchase orders agreed by both parties.</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manner of deciding on this transaction (such as invitation to tender, price comparison, or price negotiation), the reference basis for the decision on price, and the decision-making unit:</w:t>
      </w:r>
    </w:p>
    <w:p>
      <w:pPr>
        <w:pStyle w:val="TextBody"/>
        <w:bidi w:val="0"/>
        <w:ind w:left="1008" w:right="0" w:hanging="0"/>
        <w:jc w:val="both"/>
        <w:rPr>
          <w:rFonts w:ascii="Times New Roman" w:hAnsi="Times New Roman"/>
          <w:color w:val="000000"/>
          <w:sz w:val="22"/>
        </w:rPr>
      </w:pPr>
      <w:r>
        <w:rPr>
          <w:rFonts w:ascii="Times New Roman" w:hAnsi="Times New Roman"/>
          <w:color w:val="000000"/>
          <w:sz w:val="22"/>
        </w:rPr>
        <w:t>The Company has referred to the market value and negotiated through mutual agreement between both parties, and handled in accordance with the internal authorization.</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Name of the professional appraisal firm or company and its appraisal price: Not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Name of the professional appraiser: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Practice certificate number of the professional appraiser: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appraisal report has a limited price, specific price, or special price: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 appraisal report has not yet been obtained: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17.</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Reason for an appraisal report not being obtained: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18.</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Reason for any significant discrepancy with the appraisal reports and opinion of the CPA: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19.</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Name of the CPA firm: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20.</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Name of the CPA: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Practice certificate number of the CPA: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Broker and broker’s fee: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Concrete purpose or use of the acquisition or disposal: For manufacturing purpose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Any dissenting opinions of directors to the present transaction: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Whether the counterparty of the current transaction is a related party: No</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Date of ratification by supervisors or approval by the audit committee: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27.</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transaction is to acquire a real property or right-of-use asset from a related party: No</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28.</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price assessed in accordance with the Article 16 of the Regulations Governing the Acquisition and Disposal of Assets by Public Companies: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29.</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Where the above assessed price is lower than the transaction price, the price assessed in accordance with the Article 17 of the same regulations: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30.</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Date on which material information regarding the same event has been previously released: Not applicable</w:t>
      </w:r>
    </w:p>
    <w:p>
      <w:pPr>
        <w:pStyle w:val="TextBody"/>
        <w:bidi w:val="0"/>
        <w:spacing w:before="120" w:after="283"/>
        <w:ind w:left="489" w:right="0" w:hanging="0"/>
        <w:jc w:val="both"/>
        <w:rPr>
          <w:rFonts w:ascii="Times New Roman" w:hAnsi="Times New Roman"/>
          <w:color w:val="000000"/>
          <w:sz w:val="22"/>
        </w:rPr>
      </w:pPr>
      <w:r>
        <w:rPr>
          <w:rFonts w:ascii="Times New Roman" w:hAnsi="Times New Roman"/>
          <w:color w:val="000000"/>
          <w:sz w:val="22"/>
        </w:rPr>
        <w:t>31.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Any other matters that need to be specified: None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4967</Characters>
  <CharactersWithSpaces>5802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