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b/>
          <w:color w:val="000000"/>
          <w:sz w:val="36"/>
        </w:rPr>
      </w:pPr>
      <w:bookmarkStart w:id="0" w:name="imos-6-k-202609revenue.htm"/>
      <w:bookmarkStart w:id="1" w:name="ksimos6k202609revenue"/>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00" w:after="283"/>
        <w:ind w:left="4320" w:right="4320" w:hanging="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200" w:after="283"/>
        <w:ind w:left="4320" w:right="4320" w:hanging="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October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001-37928</w:t>
      </w:r>
      <w:r>
        <w:rPr>
          <w:rFonts w:ascii="Times New Roman" w:hAnsi="Times New Roman"/>
          <w:color w:val="000000"/>
          <w:sz w:val="20"/>
        </w:rPr>
        <w:t xml:space="preserve"> </w:t>
      </w:r>
    </w:p>
    <w:p>
      <w:pPr>
        <w:pStyle w:val="TextBody"/>
        <w:pBdr>
          <w:bottom w:val="single" w:sz="8" w:space="1" w:color="000000"/>
        </w:pBdr>
        <w:bidi w:val="0"/>
        <w:spacing w:before="0" w:after="40"/>
        <w:ind w:left="4320" w:right="4320" w:hanging="0"/>
        <w:jc w:val="left"/>
        <w:rPr/>
      </w:pPr>
      <w:r>
        <w:rPr/>
        <w:t>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ChipMOS TECHNOLOGIES INC.</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bidi w:val="0"/>
        <w:spacing w:before="200" w:after="283"/>
        <w:ind w:left="4320" w:right="4320" w:hanging="0"/>
        <w:jc w:val="center"/>
        <w:rPr>
          <w:rFonts w:ascii="Times New Roman" w:hAnsi="Times New Roman"/>
          <w:b/>
          <w:color w:val="000000"/>
          <w:sz w:val="20"/>
        </w:rPr>
      </w:pPr>
      <w:r>
        <w:rPr>
          <w:rFonts w:ascii="Times New Roman" w:hAnsi="Times New Roman"/>
          <w:b/>
          <w:color w:val="000000"/>
          <w:sz w:val="20"/>
        </w:rPr>
        <w:t>No. 1, R&amp;D Rd. 1, Hsinchu Science Park</w:t>
      </w:r>
    </w:p>
    <w:p>
      <w:pPr>
        <w:pStyle w:val="TextBody"/>
        <w:bidi w:val="0"/>
        <w:jc w:val="center"/>
        <w:rPr>
          <w:rFonts w:ascii="Times New Roman" w:hAnsi="Times New Roman"/>
          <w:b/>
          <w:color w:val="000000"/>
          <w:sz w:val="20"/>
        </w:rPr>
      </w:pPr>
      <w:r>
        <w:rPr>
          <w:rFonts w:ascii="Times New Roman" w:hAnsi="Times New Roman"/>
          <w:b/>
          <w:color w:val="000000"/>
          <w:sz w:val="20"/>
        </w:rPr>
        <w:t>Hsinchu, Taiwan</w:t>
      </w:r>
    </w:p>
    <w:p>
      <w:pPr>
        <w:pStyle w:val="TextBody"/>
        <w:bidi w:val="0"/>
        <w:jc w:val="center"/>
        <w:rPr>
          <w:rFonts w:ascii="Times New Roman" w:hAnsi="Times New Roman"/>
          <w:b/>
          <w:color w:val="000000"/>
          <w:sz w:val="20"/>
        </w:rPr>
      </w:pPr>
      <w:r>
        <w:rPr>
          <w:rFonts w:ascii="Times New Roman" w:hAnsi="Times New Roman"/>
          <w:b/>
          <w:color w:val="000000"/>
          <w:sz w:val="20"/>
        </w:rPr>
        <w:t>Republic of China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200" w:after="283"/>
        <w:ind w:left="0" w:right="0" w:firstLine="49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pBdr>
          <w:bottom w:val="double" w:sz="4" w:space="1" w:color="000000"/>
        </w:pBdr>
        <w:bidi w:val="0"/>
        <w:spacing w:before="0" w:after="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240" w:after="283"/>
        <w:ind w:left="0" w:right="0" w:firstLine="49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761" w:type="dxa"/>
        <w:jc w:val="left"/>
        <w:tblInd w:w="0" w:type="dxa"/>
        <w:tblLayout w:type="fixed"/>
        <w:tblCellMar>
          <w:top w:w="28" w:type="dxa"/>
          <w:left w:w="28" w:type="dxa"/>
          <w:bottom w:w="28" w:type="dxa"/>
          <w:right w:w="28" w:type="dxa"/>
        </w:tblCellMar>
      </w:tblPr>
      <w:tblGrid>
        <w:gridCol w:w="2206"/>
        <w:gridCol w:w="109"/>
        <w:gridCol w:w="146"/>
        <w:gridCol w:w="109"/>
        <w:gridCol w:w="721"/>
        <w:gridCol w:w="109"/>
        <w:gridCol w:w="336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2"/>
              </w:rPr>
            </w:pPr>
            <w:r>
              <w:rPr>
                <w:rFonts w:ascii="Times New Roman" w:hAnsi="Times New Roman"/>
                <w:color w:val="000000"/>
                <w:sz w:val="22"/>
              </w:rPr>
              <w:t>ChipMOS TECHNOLOGIES INC.</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(Registrant)</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October 8,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2"/>
              </w:rPr>
            </w:pPr>
            <w:r>
              <w:rPr>
                <w:rFonts w:ascii="Times New Roman" w:hAnsi="Times New Roman"/>
                <w:color w:val="000000"/>
                <w:sz w:val="22"/>
              </w:rPr>
              <w:t>/S/ S. J. Cheng</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 Cheng</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Chairman &amp; President</w:t>
            </w:r>
          </w:p>
        </w:tc>
      </w:tr>
    </w:tbl>
    <w:p>
      <w:pPr>
        <w:pStyle w:val="TextBody"/>
        <w:bidi w:val="0"/>
        <w:ind w:left="49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7240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4667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Contacts:</w:t>
      </w:r>
    </w:p>
    <w:tbl>
      <w:tblPr>
        <w:tblW w:w="6572" w:type="dxa"/>
        <w:jc w:val="left"/>
        <w:tblInd w:w="0" w:type="dxa"/>
        <w:tblLayout w:type="fixed"/>
        <w:tblCellMar>
          <w:top w:w="28" w:type="dxa"/>
          <w:left w:w="28" w:type="dxa"/>
          <w:bottom w:w="28" w:type="dxa"/>
          <w:right w:w="28" w:type="dxa"/>
        </w:tblCellMar>
      </w:tblPr>
      <w:tblGrid>
        <w:gridCol w:w="3331"/>
        <w:gridCol w:w="3241"/>
      </w:tblGrid>
      <w:tr>
        <w:trPr/>
        <w:tc>
          <w:tcPr>
            <w:tcW w:w="3331"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333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u w:val="single"/>
              </w:rPr>
            </w:pPr>
            <w:r>
              <w:rPr>
                <w:rFonts w:ascii="Times New Roman" w:hAnsi="Times New Roman"/>
                <w:color w:val="000000"/>
                <w:sz w:val="22"/>
                <w:u w:val="single"/>
              </w:rPr>
              <w:t>In Taiwan</w:t>
            </w:r>
          </w:p>
          <w:p>
            <w:pPr>
              <w:pStyle w:val="TableContents"/>
              <w:bidi w:val="0"/>
              <w:jc w:val="left"/>
              <w:rPr>
                <w:rFonts w:ascii="Times New Roman" w:hAnsi="Times New Roman"/>
                <w:color w:val="000000"/>
                <w:sz w:val="22"/>
              </w:rPr>
            </w:pPr>
            <w:r>
              <w:rPr>
                <w:rFonts w:ascii="Times New Roman" w:hAnsi="Times New Roman"/>
                <w:color w:val="000000"/>
                <w:sz w:val="22"/>
              </w:rPr>
              <w:t>Jesse Huang</w:t>
            </w:r>
          </w:p>
          <w:p>
            <w:pPr>
              <w:pStyle w:val="TableContents"/>
              <w:bidi w:val="0"/>
              <w:jc w:val="left"/>
              <w:rPr>
                <w:rFonts w:ascii="Times New Roman" w:hAnsi="Times New Roman"/>
                <w:color w:val="000000"/>
                <w:sz w:val="22"/>
              </w:rPr>
            </w:pPr>
            <w:r>
              <w:rPr>
                <w:rFonts w:ascii="Times New Roman" w:hAnsi="Times New Roman"/>
                <w:color w:val="000000"/>
                <w:sz w:val="22"/>
              </w:rPr>
              <w:t>ChipMOS TECHNOLOGIES INC.</w:t>
            </w:r>
          </w:p>
          <w:p>
            <w:pPr>
              <w:pStyle w:val="TableContents"/>
              <w:bidi w:val="0"/>
              <w:jc w:val="left"/>
              <w:rPr>
                <w:rFonts w:ascii="Times New Roman" w:hAnsi="Times New Roman"/>
                <w:color w:val="000000"/>
                <w:sz w:val="22"/>
              </w:rPr>
            </w:pPr>
            <w:r>
              <w:rPr>
                <w:rFonts w:ascii="Times New Roman" w:hAnsi="Times New Roman"/>
                <w:color w:val="000000"/>
                <w:sz w:val="22"/>
              </w:rPr>
              <w:t>+886-6-5052388 ext. 7715</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IR@chipmos.com</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u w:val="single"/>
              </w:rPr>
            </w:pPr>
            <w:r>
              <w:rPr>
                <w:rFonts w:ascii="Times New Roman" w:hAnsi="Times New Roman"/>
                <w:color w:val="000000"/>
                <w:sz w:val="22"/>
                <w:u w:val="single"/>
              </w:rPr>
              <w:t>In the U.S.</w:t>
            </w:r>
          </w:p>
          <w:p>
            <w:pPr>
              <w:pStyle w:val="TableContents"/>
              <w:bidi w:val="0"/>
              <w:jc w:val="left"/>
              <w:rPr>
                <w:rFonts w:ascii="Times New Roman" w:hAnsi="Times New Roman"/>
                <w:color w:val="000000"/>
                <w:sz w:val="22"/>
              </w:rPr>
            </w:pPr>
            <w:r>
              <w:rPr>
                <w:rFonts w:ascii="Times New Roman" w:hAnsi="Times New Roman"/>
                <w:color w:val="000000"/>
                <w:sz w:val="22"/>
              </w:rPr>
              <w:t>David Pasquale</w:t>
            </w:r>
          </w:p>
          <w:p>
            <w:pPr>
              <w:pStyle w:val="TableContents"/>
              <w:bidi w:val="0"/>
              <w:jc w:val="left"/>
              <w:rPr>
                <w:rFonts w:ascii="Times New Roman" w:hAnsi="Times New Roman"/>
                <w:color w:val="000000"/>
                <w:sz w:val="22"/>
              </w:rPr>
            </w:pPr>
            <w:r>
              <w:rPr>
                <w:rFonts w:ascii="Times New Roman" w:hAnsi="Times New Roman"/>
                <w:color w:val="000000"/>
                <w:sz w:val="22"/>
              </w:rPr>
              <w:t>Global IR Partners</w:t>
            </w:r>
          </w:p>
          <w:p>
            <w:pPr>
              <w:pStyle w:val="TableContents"/>
              <w:bidi w:val="0"/>
              <w:jc w:val="left"/>
              <w:rPr>
                <w:rFonts w:ascii="Times New Roman" w:hAnsi="Times New Roman"/>
                <w:color w:val="000000"/>
                <w:sz w:val="22"/>
              </w:rPr>
            </w:pPr>
            <w:r>
              <w:rPr>
                <w:rFonts w:ascii="Times New Roman" w:hAnsi="Times New Roman"/>
                <w:color w:val="000000"/>
                <w:sz w:val="22"/>
              </w:rPr>
              <w:t>+1-914-337-8801</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dpasquale@globalirpartners.com</w:t>
            </w:r>
          </w:p>
        </w:tc>
      </w:tr>
    </w:tbl>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ChipMOS REPORTS RECORD HIGH QUARTERLY REVENUE; 33.8% YoY INCREASE IN SEPTEMBER 2026 REVENUE; 36.7% YoY INCREASE IN 3Q26 REVENUE</w:t>
      </w:r>
    </w:p>
    <w:p>
      <w:pPr>
        <w:pStyle w:val="TextBody"/>
        <w:bidi w:val="0"/>
        <w:jc w:val="center"/>
        <w:rPr/>
      </w:pPr>
      <w:r>
        <w:rPr/>
        <w:t> </w:t>
      </w:r>
    </w:p>
    <w:p>
      <w:pPr>
        <w:pStyle w:val="TextBody"/>
        <w:bidi w:val="0"/>
        <w:jc w:val="both"/>
        <w:rPr>
          <w:rFonts w:ascii="Times New Roman" w:hAnsi="Times New Roman"/>
          <w:sz w:val="22"/>
        </w:rPr>
      </w:pPr>
      <w:r>
        <w:rPr>
          <w:rFonts w:ascii="Times New Roman" w:hAnsi="Times New Roman"/>
          <w:b/>
          <w:color w:val="000000"/>
          <w:sz w:val="22"/>
        </w:rPr>
        <w:t>Hsinchu, Taiwan, October 8, 2026</w:t>
      </w:r>
      <w:r>
        <w:rPr>
          <w:rFonts w:ascii="Times New Roman" w:hAnsi="Times New Roman"/>
          <w:color w:val="000000"/>
          <w:sz w:val="22"/>
        </w:rPr>
        <w:t xml:space="preserve"> - ChipMOS TECHNOLOGIES INC. (“ChipMOS” or the “Company”) (Taiwan Stock Exchange: 8150 and Nasdaq: IMOS), an industry leading provider of outsourced semiconductor assembly and test services (“OSAT”), today reported its unaudited consolidated revenue for the month of September 2026 and for the third quarter ended September 30, 2026. All U.S. dollar figures cited in this press release are based on the exchange rate of NT$31.85 to US$1.00 as of September 30, 2026.</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Company noted its third quarter 2026 revenue represents a record high, with revenue growth driven by sustained AI-related demand outpacing available memory supply. While the Company continues to invest in footprint expansion, new capacity is being deployed to meet existing customer forecasts and long-term supply agreements, as structural supply constraints persist and demand broadens across most of the Company’s memory and storage end markets.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Revenue for the third quarter of 2026 was NT$8,400.8 million or US$263.8 million, representing an increase of 13.8% from the second quarter of 2026, and an increase of 36.7% from the third quarter of 2025.</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Revenue for the month of September 2026 was NT$2,792.0 million or US$87.7 million, representing an increase of 0.2% from August 2026, and an increase of 33.8% from September 2025. </w:t>
      </w:r>
    </w:p>
    <w:p>
      <w:pPr>
        <w:pStyle w:val="TextBody"/>
        <w:bidi w:val="0"/>
        <w:jc w:val="left"/>
        <w:rPr/>
      </w:pPr>
      <w:r>
        <w:rPr/>
        <w:t> </w:t>
      </w:r>
    </w:p>
    <w:tbl>
      <w:tblPr>
        <w:tblW w:w="8961" w:type="dxa"/>
        <w:jc w:val="left"/>
        <w:tblInd w:w="0" w:type="dxa"/>
        <w:tblLayout w:type="fixed"/>
        <w:tblCellMar>
          <w:top w:w="28" w:type="dxa"/>
          <w:left w:w="28" w:type="dxa"/>
          <w:bottom w:w="28" w:type="dxa"/>
          <w:right w:w="28" w:type="dxa"/>
        </w:tblCellMar>
      </w:tblPr>
      <w:tblGrid>
        <w:gridCol w:w="1591"/>
        <w:gridCol w:w="1636"/>
        <w:gridCol w:w="1321"/>
        <w:gridCol w:w="1636"/>
        <w:gridCol w:w="1396"/>
        <w:gridCol w:w="1381"/>
      </w:tblGrid>
      <w:tr>
        <w:trPr/>
        <w:tc>
          <w:tcPr>
            <w:tcW w:w="159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8961" w:type="dxa"/>
            <w:gridSpan w:val="6"/>
            <w:tcBorders/>
            <w:tcMar>
              <w:top w:w="0" w:type="dxa"/>
              <w:left w:w="0" w:type="dxa"/>
              <w:bottom w:w="0" w:type="dxa"/>
              <w:right w:w="0" w:type="dxa"/>
            </w:tcMar>
            <w:vAlign w:val="center"/>
          </w:tcPr>
          <w:p>
            <w:pPr>
              <w:pStyle w:val="TableContents"/>
              <w:bidi w:val="0"/>
              <w:spacing w:before="0" w:after="60"/>
              <w:jc w:val="both"/>
              <w:rPr>
                <w:rFonts w:ascii="Times New Roman" w:hAnsi="Times New Roman"/>
                <w:b/>
                <w:color w:val="000000"/>
                <w:sz w:val="22"/>
                <w:u w:val="single"/>
              </w:rPr>
            </w:pPr>
            <w:r>
              <w:rPr>
                <w:rFonts w:ascii="Times New Roman" w:hAnsi="Times New Roman"/>
                <w:b/>
                <w:color w:val="000000"/>
                <w:sz w:val="22"/>
                <w:u w:val="single"/>
              </w:rPr>
              <w:t>Consolidated Monthly Revenues (Unaudited)</w:t>
            </w:r>
          </w:p>
        </w:tc>
      </w:tr>
      <w:tr>
        <w:trPr/>
        <w:tc>
          <w:tcPr>
            <w:tcW w:w="1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September 2026</w:t>
            </w:r>
          </w:p>
        </w:tc>
        <w:tc>
          <w:tcPr>
            <w:tcW w:w="13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August 2026</w:t>
            </w:r>
          </w:p>
        </w:tc>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September 2025</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MoM Change</w:t>
            </w:r>
          </w:p>
        </w:tc>
        <w:tc>
          <w:tcPr>
            <w:tcW w:w="13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YoY Change</w:t>
            </w:r>
          </w:p>
        </w:tc>
      </w:tr>
      <w:tr>
        <w:trPr/>
        <w:tc>
          <w:tcPr>
            <w:tcW w:w="1591"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Revenues</w:t>
            </w:r>
          </w:p>
          <w:p>
            <w:pPr>
              <w:pStyle w:val="TableContents"/>
              <w:bidi w:val="0"/>
              <w:spacing w:before="0" w:after="283"/>
              <w:jc w:val="left"/>
              <w:rPr>
                <w:color w:val="000000"/>
              </w:rPr>
            </w:pPr>
            <w:r>
              <w:rPr>
                <w:color w:val="000000"/>
              </w:rPr>
              <w:t>   </w:t>
            </w:r>
            <w:r>
              <w:rPr>
                <w:rFonts w:ascii="Times New Roman" w:hAnsi="Times New Roman"/>
                <w:color w:val="000000"/>
                <w:sz w:val="22"/>
              </w:rPr>
              <w:t>(NT$ million)</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2,792.0</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2,785.7</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2,087.4</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0.2%</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33.8%</w:t>
            </w:r>
          </w:p>
        </w:tc>
      </w:tr>
      <w:tr>
        <w:trPr/>
        <w:tc>
          <w:tcPr>
            <w:tcW w:w="15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Revenues</w:t>
            </w:r>
          </w:p>
          <w:p>
            <w:pPr>
              <w:pStyle w:val="TableContents"/>
              <w:bidi w:val="0"/>
              <w:spacing w:before="0" w:after="283"/>
              <w:jc w:val="left"/>
              <w:rPr>
                <w:color w:val="000000"/>
              </w:rPr>
            </w:pPr>
            <w:r>
              <w:rPr>
                <w:color w:val="000000"/>
              </w:rPr>
              <w:t>   </w:t>
            </w:r>
            <w:r>
              <w:rPr>
                <w:rFonts w:ascii="Times New Roman" w:hAnsi="Times New Roman"/>
                <w:color w:val="000000"/>
                <w:sz w:val="22"/>
              </w:rPr>
              <w:t>(US$ million)</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87.7</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87.5</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65.5</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0.2%</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33.8%</w:t>
            </w:r>
          </w:p>
        </w:tc>
      </w:tr>
    </w:tbl>
    <w:p>
      <w:pPr>
        <w:pStyle w:val="TextBody"/>
        <w:bidi w:val="0"/>
        <w:jc w:val="both"/>
        <w:rPr/>
      </w:pPr>
      <w:r>
        <w:rPr/>
        <w:t> </w:t>
      </w:r>
    </w:p>
    <w:tbl>
      <w:tblPr>
        <w:tblW w:w="8631" w:type="dxa"/>
        <w:jc w:val="left"/>
        <w:tblInd w:w="0" w:type="dxa"/>
        <w:tblLayout w:type="fixed"/>
        <w:tblCellMar>
          <w:top w:w="28" w:type="dxa"/>
          <w:left w:w="28" w:type="dxa"/>
          <w:bottom w:w="28" w:type="dxa"/>
          <w:right w:w="28" w:type="dxa"/>
        </w:tblCellMar>
      </w:tblPr>
      <w:tblGrid>
        <w:gridCol w:w="1591"/>
        <w:gridCol w:w="1381"/>
        <w:gridCol w:w="1561"/>
        <w:gridCol w:w="1381"/>
        <w:gridCol w:w="1336"/>
        <w:gridCol w:w="1381"/>
      </w:tblGrid>
      <w:tr>
        <w:trPr/>
        <w:tc>
          <w:tcPr>
            <w:tcW w:w="159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8631" w:type="dxa"/>
            <w:gridSpan w:val="6"/>
            <w:tcBorders/>
            <w:tcMar>
              <w:top w:w="0" w:type="dxa"/>
              <w:left w:w="0" w:type="dxa"/>
              <w:bottom w:w="0" w:type="dxa"/>
              <w:right w:w="0" w:type="dxa"/>
            </w:tcMar>
            <w:vAlign w:val="center"/>
          </w:tcPr>
          <w:p>
            <w:pPr>
              <w:pStyle w:val="TableContents"/>
              <w:bidi w:val="0"/>
              <w:spacing w:before="0" w:after="60"/>
              <w:jc w:val="both"/>
              <w:rPr>
                <w:rFonts w:ascii="Times New Roman" w:hAnsi="Times New Roman"/>
                <w:b/>
                <w:color w:val="000000"/>
                <w:sz w:val="22"/>
                <w:u w:val="single"/>
              </w:rPr>
            </w:pPr>
            <w:r>
              <w:rPr>
                <w:rFonts w:ascii="Times New Roman" w:hAnsi="Times New Roman"/>
                <w:b/>
                <w:color w:val="000000"/>
                <w:sz w:val="22"/>
                <w:u w:val="single"/>
              </w:rPr>
              <w:t>Consolidated Quarterly Revenues (Unaudited)</w:t>
            </w:r>
          </w:p>
        </w:tc>
      </w:tr>
      <w:tr>
        <w:trPr/>
        <w:tc>
          <w:tcPr>
            <w:tcW w:w="1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Third Quarter</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2026</w:t>
            </w:r>
          </w:p>
        </w:tc>
        <w:tc>
          <w:tcPr>
            <w:tcW w:w="156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Second Quarter</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2026</w:t>
            </w:r>
          </w:p>
        </w:tc>
        <w:tc>
          <w:tcPr>
            <w:tcW w:w="138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Third Quarter</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2025</w:t>
            </w:r>
          </w:p>
        </w:tc>
        <w:tc>
          <w:tcPr>
            <w:tcW w:w="13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QoQ Change</w:t>
            </w:r>
          </w:p>
        </w:tc>
        <w:tc>
          <w:tcPr>
            <w:tcW w:w="13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YoY Change</w:t>
            </w:r>
          </w:p>
        </w:tc>
      </w:tr>
      <w:tr>
        <w:trPr/>
        <w:tc>
          <w:tcPr>
            <w:tcW w:w="1591"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Revenues</w:t>
            </w:r>
          </w:p>
          <w:p>
            <w:pPr>
              <w:pStyle w:val="TableContents"/>
              <w:bidi w:val="0"/>
              <w:spacing w:before="0" w:after="283"/>
              <w:jc w:val="left"/>
              <w:rPr>
                <w:color w:val="000000"/>
              </w:rPr>
            </w:pPr>
            <w:r>
              <w:rPr>
                <w:color w:val="000000"/>
              </w:rPr>
              <w:t>   </w:t>
            </w:r>
            <w:r>
              <w:rPr>
                <w:rFonts w:ascii="Times New Roman" w:hAnsi="Times New Roman"/>
                <w:color w:val="000000"/>
                <w:sz w:val="22"/>
              </w:rPr>
              <w:t>(NT$ million)</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8,400.8</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7,383.1</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6,143.7</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13.8%</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36.7%</w:t>
            </w:r>
          </w:p>
        </w:tc>
      </w:tr>
      <w:tr>
        <w:trPr/>
        <w:tc>
          <w:tcPr>
            <w:tcW w:w="15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Revenues</w:t>
            </w:r>
          </w:p>
          <w:p>
            <w:pPr>
              <w:pStyle w:val="TableContents"/>
              <w:bidi w:val="0"/>
              <w:spacing w:before="0" w:after="283"/>
              <w:jc w:val="left"/>
              <w:rPr>
                <w:color w:val="000000"/>
              </w:rPr>
            </w:pPr>
            <w:r>
              <w:rPr>
                <w:color w:val="000000"/>
              </w:rPr>
              <w:t>   </w:t>
            </w:r>
            <w:r>
              <w:rPr>
                <w:rFonts w:ascii="Times New Roman" w:hAnsi="Times New Roman"/>
                <w:color w:val="000000"/>
                <w:sz w:val="22"/>
              </w:rPr>
              <w:t>(US$ million)</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263.8</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231.8</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192.9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13.8%</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36.7%</w:t>
            </w:r>
          </w:p>
        </w:tc>
      </w:tr>
    </w:tbl>
    <w:p>
      <w:pPr>
        <w:pStyle w:val="TextBody"/>
        <w:bidi w:val="0"/>
        <w:spacing w:before="120" w:after="283"/>
        <w:jc w:val="both"/>
        <w:rPr/>
      </w:pPr>
      <w:r>
        <w:rPr/>
        <w:t> </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About ChipMOS TECHNOLOGIES INC.:</w:t>
      </w:r>
    </w:p>
    <w:p>
      <w:pPr>
        <w:pStyle w:val="TextBody"/>
        <w:bidi w:val="0"/>
        <w:jc w:val="both"/>
        <w:rPr>
          <w:rFonts w:ascii="Times New Roman" w:hAnsi="Times New Roman"/>
          <w:color w:val="000000"/>
          <w:sz w:val="22"/>
        </w:rPr>
      </w:pPr>
      <w:r>
        <w:rPr>
          <w:rFonts w:ascii="Times New Roman" w:hAnsi="Times New Roman"/>
          <w:color w:val="000000"/>
          <w:sz w:val="22"/>
        </w:rPr>
        <w:t xml:space="preserve">ChipMOS TECHNOLOGIES INC. (“ChipMOS” or the “Company”) (Taiwan Stock Exchange: 8150 and Nasdaq: IMOS) (www.chipmos.com) is an industry leading provider of outsourced semiconductor assembly and test services. With advanced facilities in Hsinchu Science Park, Hsinchu Industrial Park and Southern Taiwan Science Park in Taiwan, ChipMOS is known for its track record of excellence and history of innovation. The Company provides end-to-end assembly and test services to leading fabless semiconductor companies, integrated device manufacturers and independent semiconductor foundries serving virtually all end markets worldwide.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both"/>
        <w:rPr>
          <w:rFonts w:ascii="Times New Roman" w:hAnsi="Times New Roman"/>
          <w:color w:val="000000"/>
          <w:sz w:val="22"/>
        </w:rPr>
      </w:pPr>
      <w:r>
        <w:rPr>
          <w:rFonts w:ascii="Times New Roman" w:hAnsi="Times New Roman"/>
          <w:color w:val="000000"/>
          <w:sz w:val="22"/>
        </w:rPr>
        <w:t>This press release may contain certain forward-looking statements. These forward-looking statements may be identified by words such as ‘believes,’ ‘expects,’ ‘anticipates,’ ‘projects,’ ‘intends,’ ‘should,’ ‘seeks,’ ‘estimates,’ ‘future’ or similar expressions or by discussion of, among other things, strategies, goals, plans or intentions. These statements may include financial projections and estimates and their underlying assumptions, statements regarding current macroeconomic conditions, including the impacts of high inflation, foreign exchange rates and risk of recession, on demand for our products, consumer confidence and financial markets generally; changes in trade regulations, policies, and agreements and the imposition of tariffs that affect our products or operations, including potential new tariffs that may be imposed and our ability to mitigate with respect to future operations, products and services, and statements regarding future performance. Actual results may differ materially in the future from those reflected in forward-looking statements contained in this document, based on a number of important factors and risks, which are more specifically identified in the Company’s most recent U.S. Securities and Exchange Commission (the “SEC”) filings. Further information regarding these risks, uncertainties and other factors are included in the Company’s most recent Annual Report on Form 20-F filed with the SEC and in its other filings with the SEC.</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4430</Characters>
  <CharactersWithSpaces>5139</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