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748665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766445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175895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189865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line="491" w:lineRule="exact"/>
        <w:rPr>
          <w:sz w:val="20"/>
          <w:szCs w:val="20"/>
          <w:color w:val="auto"/>
        </w:rPr>
      </w:pPr>
      <w:r>
        <w:rPr>
          <w:rFonts w:ascii="SimSun" w:cs="SimSun" w:eastAsia="SimSun" w:hAnsi="SimSun"/>
          <w:sz w:val="43"/>
          <w:szCs w:val="43"/>
          <w:color w:val="auto"/>
        </w:rPr>
        <w:t>南茂科技股份有限公司</w:t>
      </w:r>
    </w:p>
    <w:p>
      <w:pPr>
        <w:spacing w:after="0" w:line="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ChipMOS TECHNOLOGIES INC.</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176530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7"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33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Taiwan, Republic of China</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001-37928</w:t>
            </w: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117"/>
        </w:trPr>
        <w:tc>
          <w:tcPr>
            <w:tcW w:w="23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00" w:type="dxa"/>
            <w:vAlign w:val="bottom"/>
          </w:tcPr>
          <w:p>
            <w:pPr>
              <w:spacing w:after="0"/>
              <w:rPr>
                <w:sz w:val="10"/>
                <w:szCs w:val="10"/>
                <w:color w:val="auto"/>
              </w:rPr>
            </w:pPr>
          </w:p>
        </w:tc>
        <w:tc>
          <w:tcPr>
            <w:tcW w:w="3100" w:type="dxa"/>
            <w:vAlign w:val="bottom"/>
            <w:tcBorders>
              <w:top w:val="single" w:sz="8" w:color="auto"/>
            </w:tcBorders>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190"/>
        </w:trPr>
        <w:tc>
          <w:tcPr>
            <w:tcW w:w="334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730"/>
        </w:trPr>
        <w:tc>
          <w:tcPr>
            <w:tcW w:w="5340" w:type="dxa"/>
            <w:vAlign w:val="bottom"/>
            <w:gridSpan w:val="4"/>
          </w:tcPr>
          <w:p>
            <w:pPr>
              <w:jc w:val="center"/>
              <w:ind w:right="1204"/>
              <w:spacing w:after="0"/>
              <w:rPr>
                <w:sz w:val="20"/>
                <w:szCs w:val="20"/>
                <w:color w:val="auto"/>
              </w:rPr>
            </w:pPr>
            <w:r>
              <w:rPr>
                <w:rFonts w:ascii="Times New Roman" w:cs="Times New Roman" w:eastAsia="Times New Roman" w:hAnsi="Times New Roman"/>
                <w:sz w:val="18"/>
                <w:szCs w:val="18"/>
                <w:b w:val="1"/>
                <w:bCs w:val="1"/>
                <w:color w:val="auto"/>
                <w:w w:val="99"/>
              </w:rPr>
              <w:t>No. 1, R&amp;D Road 1, Hsinchu Science Park</w:t>
            </w: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2"/>
        </w:trPr>
        <w:tc>
          <w:tcPr>
            <w:tcW w:w="5340" w:type="dxa"/>
            <w:vAlign w:val="bottom"/>
            <w:tcBorders>
              <w:bottom w:val="single" w:sz="8" w:color="auto"/>
            </w:tcBorders>
            <w:gridSpan w:val="4"/>
          </w:tcPr>
          <w:p>
            <w:pPr>
              <w:jc w:val="center"/>
              <w:ind w:right="1204"/>
              <w:spacing w:after="0"/>
              <w:rPr>
                <w:sz w:val="20"/>
                <w:szCs w:val="20"/>
                <w:color w:val="auto"/>
              </w:rPr>
            </w:pPr>
            <w:r>
              <w:rPr>
                <w:rFonts w:ascii="Times New Roman" w:cs="Times New Roman" w:eastAsia="Times New Roman" w:hAnsi="Times New Roman"/>
                <w:sz w:val="18"/>
                <w:szCs w:val="18"/>
                <w:b w:val="1"/>
                <w:bCs w:val="1"/>
                <w:color w:val="auto"/>
              </w:rPr>
              <w:t>Hsinchu 300-092, Taiwan, Republic of China</w:t>
            </w:r>
          </w:p>
        </w:tc>
        <w:tc>
          <w:tcPr>
            <w:tcW w:w="32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300-092</w:t>
            </w:r>
          </w:p>
        </w:tc>
      </w:tr>
      <w:tr>
        <w:trPr>
          <w:trHeight w:val="184"/>
        </w:trPr>
        <w:tc>
          <w:tcPr>
            <w:tcW w:w="3340" w:type="dxa"/>
            <w:vAlign w:val="bottom"/>
            <w:gridSpan w:val="3"/>
          </w:tcPr>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256540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Silvia Su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Vice President, Finance and Accounting Management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+886-3-577-0055</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176530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400" w:right="380" w:hanging="396"/>
        <w:spacing w:after="0" w:line="282"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804545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156845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173990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Specialized Disclosure Report on Form SD of ChipMOS TECHNOLOGIES INC. (“ChipMOS” or the “Company”) for the calendar year ended December 31, 2025, is submitted to the Securities and Exchange Commission (“SEC”) pursuant to Rule 13p-1 under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ChipMOS TECHNOLOGIES INC.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 The Company is listed on the Taiwan Stock Exchange under Stock Ticker 8150 and the Company’s ADSs are listed on the Nasdaq under the symbol “IMOS”.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Form SD, ChipMOS has conducted a good-faith, reasonable country of origin inquiry (a “RCOI”) for the calendar year ended December 31, 2025, and has determined and concluded that necessary conflict minerals used in its business operations did not originate in the Democratic Republic of Congo (the “DRC”) or any adjoining country. ChipMOS is dedicated to being a socially responsible and environmentally friendly, sustainable and rule-abiding organization. The Company confirms and declares that it will not use, neither will it support the use of, conflict minerals that are originated from the DRC or an adjoining country. For the calendar year ended December 31, 2025, the Company carried out its RCOI in three stages, as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stage, ChipMOS determined whether any conflict minerals were necessary to the functionality or production of products manufactured by (or contracted to be manufactured by) the Company. The SEC defines “conflict minerals” as columbite-tantalite (coltan), cassiterite (also known as tinstone), gold, wolframite, or their derivatives, which are limited to tantalum, tin, and tungsten. ChipMOS has determined that gold (Au), tantalum (Ta), tungsten (W), tin (Sn), Cobalt (Co) and Mica (Mica) are necessary conflict minerals used in its business operations.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second stage, ChipMOS obtained information from its suppliers of conflict minerals, using the “Conflict Minerals Reporting Template” developed by the Responsible Business Alliance (RBA), regarding the types of minerals they supply and the name and location of each smelter used to process minerals supplied to the Company. The “Conflict Minerals Reporting Template” also includes confirmation by the conflict minerals supplier that it has adopted procedures designed to ensure that any metals supplied to the Company are conflict-free. Based on the Company’s review of this information, the Company reasonably determined that all of its conflict minerals suppliers source conflict minerals completely from countries other than the DRC and adjoining countries to the DRC.</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to ensure on-going compliance, as the third stage of the Company’s RCOI, the Company requests that all suppliers immediately inform the Company of any change in their conflict-free mineral supplier status.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the Company has received from all of its conflict minerals suppliers a “Guarantee Letter of Non-Use of Conflict Minerals”, which certifies that all products and packaging supplied by the conflict minerals supplier do not contain conflict minerals that are originated from the DRC or an adjoining country. Together, the letter and the “Conflict Minerals Reporting Template” provide information and transparency as to the source of conflict minerals that are supplied to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made available in this Specialized Disclosure Report for the calendar year ended December 31, 2025, is also available on the Company’s website (www.chipmos.com/english/csr/editor.aspx?CCID=40).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993140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268605</wp:posOffset>
            </wp:positionV>
            <wp:extent cx="6172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ChipMOS TECHNOLOGIES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Silvia Su</w:t>
            </w:r>
          </w:p>
        </w:tc>
        <w:tc>
          <w:tcPr>
            <w:tcW w:w="20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21, 2026</w:t>
            </w:r>
          </w:p>
        </w:tc>
        <w:tc>
          <w:tcPr>
            <w:tcW w:w="760" w:type="dxa"/>
            <w:vAlign w:val="bottom"/>
          </w:tcPr>
          <w:p>
            <w:pPr>
              <w:spacing w:after="0"/>
              <w:rPr>
                <w:sz w:val="20"/>
                <w:szCs w:val="20"/>
                <w:color w:val="auto"/>
              </w:rPr>
            </w:pPr>
          </w:p>
        </w:tc>
      </w:tr>
      <w:tr>
        <w:trPr>
          <w:trHeight w:val="372"/>
        </w:trPr>
        <w:tc>
          <w:tcPr>
            <w:tcW w:w="6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Silvia Su</w:t>
            </w:r>
          </w:p>
        </w:tc>
        <w:tc>
          <w:tcPr>
            <w:tcW w:w="20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06"/>
        </w:trPr>
        <w:tc>
          <w:tcPr>
            <w:tcW w:w="6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w:t>
            </w:r>
          </w:p>
        </w:tc>
        <w:tc>
          <w:tcPr>
            <w:tcW w:w="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and Accounting Management Center</w:t>
            </w:r>
          </w:p>
        </w:tc>
        <w:tc>
          <w:tcPr>
            <w:tcW w:w="2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64"/>
        </w:trPr>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sectPr>
      <w:pgSz w:w="11900" w:h="16838" w:orient="portrait"/>
      <w:cols w:equalWidth="0" w:num="1">
        <w:col w:w="11040"/>
      </w:cols>
      <w:pgMar w:left="420" w:top="7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2026-05-21T05:18:52Z</dcterms:created>
  <dcterms:modified xsi:type="dcterms:W3CDTF">2026-05-21T05:18:52Z</dcterms:modified>
</cp:coreProperties>
</file>