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903605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175895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216535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420" w:right="4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001-37928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200025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ChipMOS TECHNOLOGIES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184785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 1, R&amp;D Rd. 1, Hsinchu Science Park</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Hsinchu, Taiwan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Republic of China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339090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180"/>
        <w:spacing w:after="0" w:line="207" w:lineRule="exact"/>
        <w:tabs>
          <w:tab w:leader="none" w:pos="4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1007745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360680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040"/>
          </w:cols>
          <w:pgMar w:left="1440" w:top="1440" w:right="14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left="660" w:right="760" w:firstLine="44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040" w:type="dxa"/>
            <w:vAlign w:val="bottom"/>
            <w:gridSpan w:val="2"/>
          </w:tcPr>
          <w:p>
            <w:pPr>
              <w:jc w:val="center"/>
              <w:ind w:right="660"/>
              <w:spacing w:after="0"/>
              <w:rPr>
                <w:sz w:val="20"/>
                <w:szCs w:val="20"/>
                <w:color w:val="auto"/>
              </w:rPr>
            </w:pPr>
            <w:r>
              <w:rPr>
                <w:rFonts w:ascii="Times New Roman" w:cs="Times New Roman" w:eastAsia="Times New Roman" w:hAnsi="Times New Roman"/>
                <w:sz w:val="20"/>
                <w:szCs w:val="20"/>
                <w:color w:val="auto"/>
                <w:w w:val="99"/>
              </w:rPr>
              <w:t>ChipMOS TECHNOLOGIES INC.</w:t>
            </w:r>
          </w:p>
        </w:tc>
      </w:tr>
      <w:tr>
        <w:trPr>
          <w:trHeight w:val="258"/>
        </w:trPr>
        <w:tc>
          <w:tcPr>
            <w:tcW w:w="37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(Registrant)</w:t>
            </w:r>
          </w:p>
        </w:tc>
        <w:tc>
          <w:tcPr>
            <w:tcW w:w="660" w:type="dxa"/>
            <w:vAlign w:val="bottom"/>
          </w:tcPr>
          <w:p>
            <w:pPr>
              <w:spacing w:after="0"/>
              <w:rPr>
                <w:sz w:val="22"/>
                <w:szCs w:val="22"/>
                <w:color w:val="auto"/>
              </w:rPr>
            </w:pPr>
          </w:p>
        </w:tc>
      </w:tr>
      <w:tr>
        <w:trPr>
          <w:trHeight w:val="430"/>
        </w:trPr>
        <w:tc>
          <w:tcPr>
            <w:tcW w:w="3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Date: June 23, 2026</w:t>
            </w:r>
          </w:p>
        </w:tc>
        <w:tc>
          <w:tcPr>
            <w:tcW w:w="22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S. J. Cheng</w:t>
            </w:r>
          </w:p>
        </w:tc>
      </w:tr>
      <w:tr>
        <w:trPr>
          <w:trHeight w:val="214"/>
        </w:trPr>
        <w:tc>
          <w:tcPr>
            <w:tcW w:w="3740" w:type="dxa"/>
            <w:vAlign w:val="bottom"/>
          </w:tcPr>
          <w:p>
            <w:pPr>
              <w:spacing w:after="0"/>
              <w:rPr>
                <w:sz w:val="18"/>
                <w:szCs w:val="18"/>
                <w:color w:val="auto"/>
              </w:rPr>
            </w:pPr>
          </w:p>
        </w:tc>
        <w:tc>
          <w:tcPr>
            <w:tcW w:w="2260" w:type="dxa"/>
            <w:vAlign w:val="bottom"/>
          </w:tcPr>
          <w:p>
            <w:pPr>
              <w:ind w:left="1480"/>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top w:val="single" w:sz="8" w:color="auto"/>
            </w:tcBorders>
          </w:tcPr>
          <w:p>
            <w:pPr>
              <w:spacing w:after="0" w:line="213" w:lineRule="exact"/>
              <w:rPr>
                <w:sz w:val="20"/>
                <w:szCs w:val="20"/>
                <w:color w:val="auto"/>
              </w:rPr>
            </w:pPr>
            <w:r>
              <w:rPr>
                <w:rFonts w:ascii="Times New Roman" w:cs="Times New Roman" w:eastAsia="Times New Roman" w:hAnsi="Times New Roman"/>
                <w:sz w:val="20"/>
                <w:szCs w:val="20"/>
                <w:color w:val="auto"/>
              </w:rPr>
              <w:t>S. J. Cheng</w:t>
            </w:r>
          </w:p>
        </w:tc>
        <w:tc>
          <w:tcPr>
            <w:tcW w:w="660" w:type="dxa"/>
            <w:vAlign w:val="bottom"/>
          </w:tcPr>
          <w:p>
            <w:pPr>
              <w:spacing w:after="0"/>
              <w:rPr>
                <w:sz w:val="18"/>
                <w:szCs w:val="18"/>
                <w:color w:val="auto"/>
              </w:rPr>
            </w:pPr>
          </w:p>
        </w:tc>
      </w:tr>
      <w:tr>
        <w:trPr>
          <w:trHeight w:val="258"/>
        </w:trPr>
        <w:tc>
          <w:tcPr>
            <w:tcW w:w="3740" w:type="dxa"/>
            <w:vAlign w:val="bottom"/>
          </w:tcPr>
          <w:p>
            <w:pPr>
              <w:spacing w:after="0"/>
              <w:rPr>
                <w:sz w:val="22"/>
                <w:szCs w:val="22"/>
                <w:color w:val="auto"/>
              </w:rPr>
            </w:pPr>
          </w:p>
        </w:tc>
        <w:tc>
          <w:tcPr>
            <w:tcW w:w="22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Chairman &amp; President</w:t>
            </w:r>
          </w:p>
        </w:tc>
      </w:tr>
      <w:tr>
        <w:trPr>
          <w:trHeight w:val="973"/>
        </w:trPr>
        <w:tc>
          <w:tcPr>
            <w:tcW w:w="3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4" w:right="439" w:bottom="1440" w:gutter="0" w:footer="0" w:header="0"/>
        </w:sectPr>
      </w:pPr>
    </w:p>
    <w:bookmarkStart w:id="2" w:name="page3"/>
    <w:bookmarkEnd w:id="2"/>
    <w:p>
      <w:pPr>
        <w:ind w:right="700"/>
        <w:spacing w:after="0" w:line="269" w:lineRule="auto"/>
        <w:rPr>
          <w:sz w:val="20"/>
          <w:szCs w:val="20"/>
          <w:color w:val="auto"/>
        </w:rPr>
      </w:pPr>
      <w:r>
        <w:rPr>
          <w:rFonts w:ascii="Times New Roman" w:cs="Times New Roman" w:eastAsia="Times New Roman" w:hAnsi="Times New Roman"/>
          <w:sz w:val="20"/>
          <w:szCs w:val="20"/>
          <w:color w:val="auto"/>
        </w:rPr>
        <w:t>English translation of Company’s June 23, 2026 filing with the Taiwan Stock Exchange Corporation’s (“TWSE”) Market Observation Post System (“MOPS”).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of announcement: </w:t>
      </w:r>
      <w:r>
        <w:rPr>
          <w:rFonts w:ascii="Times New Roman" w:cs="Times New Roman" w:eastAsia="Times New Roman" w:hAnsi="Times New Roman"/>
          <w:sz w:val="20"/>
          <w:szCs w:val="20"/>
          <w:color w:val="auto"/>
        </w:rPr>
        <w:t>2026/06/23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Subject: </w:t>
      </w:r>
      <w:r>
        <w:rPr>
          <w:rFonts w:ascii="Times New Roman" w:cs="Times New Roman" w:eastAsia="Times New Roman" w:hAnsi="Times New Roman"/>
          <w:sz w:val="20"/>
          <w:szCs w:val="20"/>
          <w:color w:val="auto"/>
        </w:rPr>
        <w:t>The acquisition of plant engineering works and equipment accessories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of events: </w:t>
      </w:r>
      <w:r>
        <w:rPr>
          <w:rFonts w:ascii="Times New Roman" w:cs="Times New Roman" w:eastAsia="Times New Roman" w:hAnsi="Times New Roman"/>
          <w:sz w:val="20"/>
          <w:szCs w:val="20"/>
          <w:color w:val="auto"/>
        </w:rPr>
        <w:t>2026/06/23</w:t>
      </w:r>
    </w:p>
    <w:p>
      <w:pPr>
        <w:spacing w:after="0" w:line="108"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To which item it meets: </w:t>
      </w:r>
      <w:r>
        <w:rPr>
          <w:rFonts w:ascii="Times New Roman" w:cs="Times New Roman" w:eastAsia="Times New Roman" w:hAnsi="Times New Roman"/>
          <w:sz w:val="20"/>
          <w:szCs w:val="20"/>
          <w:color w:val="auto"/>
        </w:rPr>
        <w:t>Article 4, Paragraph 1, Item 20 of the Taiwan Stock Exchange Corporation Procedures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Verification and Disclosure of Material Information of Companies with Listed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w:t>
      </w:r>
    </w:p>
    <w:p>
      <w:pPr>
        <w:spacing w:after="0" w:line="112" w:lineRule="exact"/>
        <w:rPr>
          <w:sz w:val="20"/>
          <w:szCs w:val="20"/>
          <w:color w:val="auto"/>
        </w:rPr>
      </w:pPr>
    </w:p>
    <w:p>
      <w:pPr>
        <w:ind w:left="880" w:hanging="436"/>
        <w:spacing w:after="0" w:line="269"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and nature of the underlying asset (e.g., land located at Sublot XX, Lot XX, North District, Taichung City): Plant engineering works and equipment accessories</w:t>
      </w:r>
    </w:p>
    <w:p>
      <w:pPr>
        <w:spacing w:after="0" w:line="51"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occurrence of the event: 2025/07/02~2026/06/23</w:t>
      </w:r>
    </w:p>
    <w:p>
      <w:pPr>
        <w:spacing w:after="0" w:line="107"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the board of directors resolution: Not applicable</w:t>
      </w:r>
    </w:p>
    <w:p>
      <w:pPr>
        <w:spacing w:after="0" w:line="107"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approval date: 2026/06/23 (approval level: President of the Company).</w:t>
      </w:r>
    </w:p>
    <w:p>
      <w:pPr>
        <w:spacing w:after="0" w:line="107" w:lineRule="exact"/>
        <w:rPr>
          <w:rFonts w:ascii="Times New Roman" w:cs="Times New Roman" w:eastAsia="Times New Roman" w:hAnsi="Times New Roman"/>
          <w:sz w:val="20"/>
          <w:szCs w:val="20"/>
          <w:color w:val="auto"/>
        </w:rPr>
      </w:pPr>
    </w:p>
    <w:p>
      <w:pPr>
        <w:jc w:val="both"/>
        <w:ind w:left="920" w:hanging="476"/>
        <w:spacing w:after="0" w:line="254" w:lineRule="auto"/>
        <w:tabs>
          <w:tab w:leader="none" w:pos="89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unit amount (e.g. XX square meters, equivalent to XX ping), unit price, and total transaction price: The acquisition of plant engineering works and equipment accessories with a total transaction price of NT$512,231 thousand.</w:t>
      </w:r>
    </w:p>
    <w:p>
      <w:pPr>
        <w:spacing w:after="0" w:line="66" w:lineRule="exact"/>
        <w:rPr>
          <w:rFonts w:ascii="Times New Roman" w:cs="Times New Roman" w:eastAsia="Times New Roman" w:hAnsi="Times New Roman"/>
          <w:sz w:val="20"/>
          <w:szCs w:val="20"/>
          <w:color w:val="auto"/>
        </w:rPr>
      </w:pPr>
    </w:p>
    <w:p>
      <w:pPr>
        <w:jc w:val="both"/>
        <w:ind w:left="880" w:hanging="436"/>
        <w:spacing w:after="0" w:line="247"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counterparty and its relationship with the Company (if the trading counterparty is a natural person and furthermore is not a related party of the Company, the name of the trading counterparty is not required to be disclosed):</w:t>
      </w:r>
    </w:p>
    <w:p>
      <w:pPr>
        <w:ind w:left="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counterparty: MAU TSWEN MECHANICAL ENGINEERING CO., LTD.</w:t>
      </w:r>
    </w:p>
    <w:p>
      <w:pPr>
        <w:ind w:left="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Relation with the Company: None</w:t>
      </w:r>
    </w:p>
    <w:p>
      <w:pPr>
        <w:spacing w:after="0" w:line="85" w:lineRule="exact"/>
        <w:rPr>
          <w:rFonts w:ascii="Times New Roman" w:cs="Times New Roman" w:eastAsia="Times New Roman" w:hAnsi="Times New Roman"/>
          <w:sz w:val="20"/>
          <w:szCs w:val="20"/>
          <w:color w:val="auto"/>
        </w:rPr>
      </w:pPr>
    </w:p>
    <w:p>
      <w:pPr>
        <w:jc w:val="both"/>
        <w:ind w:left="880" w:hanging="436"/>
        <w:spacing w:after="0" w:line="274" w:lineRule="auto"/>
        <w:tabs>
          <w:tab w:leader="none" w:pos="88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trading counterparty is a related party, announcement shall also be made of the reason for choosing the related party as trading counterparty and the identity of the previous owner, its relationship with the Company and the trading counterparty, and the previous date and monetary amount of transfer: Not applicable</w:t>
      </w:r>
    </w:p>
    <w:p>
      <w:pPr>
        <w:spacing w:after="0" w:line="48" w:lineRule="exact"/>
        <w:rPr>
          <w:rFonts w:ascii="Times New Roman" w:cs="Times New Roman" w:eastAsia="Times New Roman" w:hAnsi="Times New Roman"/>
          <w:sz w:val="19"/>
          <w:szCs w:val="19"/>
          <w:color w:val="auto"/>
        </w:rPr>
      </w:pPr>
    </w:p>
    <w:p>
      <w:pPr>
        <w:jc w:val="both"/>
        <w:ind w:left="880" w:hanging="436"/>
        <w:spacing w:after="0" w:line="254"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 owner of the underlying assets within the past five years has been a related party of the Company, the announcement shall also include the date and price of acquisition and disposal by the related party, and its relationship with the Company at the time of the transaction: Not applicable</w:t>
      </w:r>
    </w:p>
    <w:p>
      <w:pPr>
        <w:spacing w:after="0" w:line="66" w:lineRule="exact"/>
        <w:rPr>
          <w:rFonts w:ascii="Times New Roman" w:cs="Times New Roman" w:eastAsia="Times New Roman" w:hAnsi="Times New Roman"/>
          <w:sz w:val="20"/>
          <w:szCs w:val="20"/>
          <w:color w:val="auto"/>
        </w:rPr>
      </w:pPr>
    </w:p>
    <w:p>
      <w:pPr>
        <w:ind w:left="880" w:hanging="436"/>
        <w:spacing w:after="0" w:line="269"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Projected gain (or loss) through disposal (not applicable for acquisition of assets; those with deferral should provide a table explaining recognition): Not applicable</w:t>
      </w:r>
    </w:p>
    <w:p>
      <w:pPr>
        <w:spacing w:after="0" w:line="51" w:lineRule="exact"/>
        <w:rPr>
          <w:rFonts w:ascii="Times New Roman" w:cs="Times New Roman" w:eastAsia="Times New Roman" w:hAnsi="Times New Roman"/>
          <w:sz w:val="20"/>
          <w:szCs w:val="20"/>
          <w:color w:val="auto"/>
        </w:rPr>
      </w:pPr>
    </w:p>
    <w:p>
      <w:pPr>
        <w:ind w:left="880" w:hanging="436"/>
        <w:spacing w:after="0" w:line="250"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of delivery or payment (including payment period and monetary amount), restrictive covenants in the contract, and other important terms and conditions:</w:t>
      </w:r>
    </w:p>
    <w:p>
      <w:pPr>
        <w:spacing w:after="0" w:line="1" w:lineRule="exact"/>
        <w:rPr>
          <w:rFonts w:ascii="Times New Roman" w:cs="Times New Roman" w:eastAsia="Times New Roman" w:hAnsi="Times New Roman"/>
          <w:sz w:val="20"/>
          <w:szCs w:val="20"/>
          <w:color w:val="auto"/>
        </w:rPr>
      </w:pPr>
    </w:p>
    <w:p>
      <w:pPr>
        <w:ind w:left="9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perform pursuant to the terms and conditions set forth in the purchase orders agreed by both parties.</w:t>
      </w:r>
    </w:p>
    <w:p>
      <w:pPr>
        <w:spacing w:after="0" w:line="73" w:lineRule="exact"/>
        <w:rPr>
          <w:rFonts w:ascii="Times New Roman" w:cs="Times New Roman" w:eastAsia="Times New Roman" w:hAnsi="Times New Roman"/>
          <w:sz w:val="20"/>
          <w:szCs w:val="20"/>
          <w:color w:val="auto"/>
        </w:rPr>
      </w:pPr>
    </w:p>
    <w:p>
      <w:pPr>
        <w:ind w:left="880" w:hanging="436"/>
        <w:spacing w:after="0" w:line="250" w:lineRule="auto"/>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manner of deciding on this transaction (such as invitation to tender, price comparison, or price negotiation), the reference basis for the decision on price, and the decision-making unit:</w:t>
      </w:r>
    </w:p>
    <w:p>
      <w:pPr>
        <w:spacing w:after="0" w:line="1" w:lineRule="exact"/>
        <w:rPr>
          <w:rFonts w:ascii="Times New Roman" w:cs="Times New Roman" w:eastAsia="Times New Roman" w:hAnsi="Times New Roman"/>
          <w:sz w:val="20"/>
          <w:szCs w:val="20"/>
          <w:color w:val="auto"/>
        </w:rPr>
      </w:pPr>
    </w:p>
    <w:p>
      <w:pPr>
        <w:ind w:left="9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referred to the market value and negotiated through mutual agreement between both parties, and handled in accordance with the internal authorization.</w:t>
      </w:r>
    </w:p>
    <w:p>
      <w:pPr>
        <w:spacing w:after="0" w:line="73"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the professional appraisal firm or company and its appraisal price: Not applicable</w:t>
      </w:r>
    </w:p>
    <w:p>
      <w:pPr>
        <w:spacing w:after="0" w:line="107"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the professional appraiser: Not applicable</w:t>
      </w:r>
    </w:p>
    <w:p>
      <w:pPr>
        <w:spacing w:after="0" w:line="107"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Practice certificate number of the professional appraiser: Not applicable</w:t>
      </w:r>
    </w:p>
    <w:p>
      <w:pPr>
        <w:spacing w:after="0" w:line="107"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appraisal report has a limited price, specific price, or special price: Not applicable</w:t>
      </w:r>
    </w:p>
    <w:p>
      <w:pPr>
        <w:spacing w:after="0" w:line="107"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appraisal report has not yet been obtained: Not applicable</w:t>
      </w:r>
    </w:p>
    <w:p>
      <w:pPr>
        <w:spacing w:after="0" w:line="107"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 for an appraisal report not being obtained: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618490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3" w:name="page4"/>
    <w:bookmarkEnd w:id="3"/>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 for any significant discrepancy with the appraisal reports and opinion of the CPA: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the CPA firm: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the CPA: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Practice certificate number of the CPA: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Broker and broker’s fee: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Concrete purpose or use of the acquisition or disposal: For manufacturing purpose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dissenting opinions of directors to the present transaction: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counterparty of the current transaction is a related party: No</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ratification by supervisors or approval by the audit committee: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is to acquire a real property or right-of-use asset from a related party: No</w:t>
      </w:r>
    </w:p>
    <w:p>
      <w:pPr>
        <w:spacing w:after="0" w:line="107" w:lineRule="exact"/>
        <w:rPr>
          <w:rFonts w:ascii="Times New Roman" w:cs="Times New Roman" w:eastAsia="Times New Roman" w:hAnsi="Times New Roman"/>
          <w:sz w:val="20"/>
          <w:szCs w:val="20"/>
          <w:color w:val="auto"/>
        </w:rPr>
      </w:pPr>
    </w:p>
    <w:p>
      <w:pPr>
        <w:ind w:left="520" w:hanging="436"/>
        <w:spacing w:after="0" w:line="269" w:lineRule="auto"/>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assessed in accordance with the Article 16 of the Regulations Governing the Acquisition and Disposal of Assets by Public Companies: Not applicable</w:t>
      </w:r>
    </w:p>
    <w:p>
      <w:pPr>
        <w:spacing w:after="0" w:line="51" w:lineRule="exact"/>
        <w:rPr>
          <w:rFonts w:ascii="Times New Roman" w:cs="Times New Roman" w:eastAsia="Times New Roman" w:hAnsi="Times New Roman"/>
          <w:sz w:val="20"/>
          <w:szCs w:val="20"/>
          <w:color w:val="auto"/>
        </w:rPr>
      </w:pPr>
    </w:p>
    <w:p>
      <w:pPr>
        <w:ind w:left="520" w:hanging="436"/>
        <w:spacing w:after="0" w:line="269" w:lineRule="auto"/>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above assessed price is lower than the transaction price, the price assessed in accordance with the Article 17 of the same regulations: Not applicable</w:t>
      </w:r>
    </w:p>
    <w:p>
      <w:pPr>
        <w:spacing w:after="0" w:line="51"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on which material information regarding the same event has been previously released: Not applicable</w:t>
      </w:r>
    </w:p>
    <w:p>
      <w:pPr>
        <w:spacing w:after="0" w:line="107" w:lineRule="exact"/>
        <w:rPr>
          <w:rFonts w:ascii="Times New Roman" w:cs="Times New Roman" w:eastAsia="Times New Roman" w:hAnsi="Times New Roman"/>
          <w:sz w:val="20"/>
          <w:szCs w:val="20"/>
          <w:color w:val="auto"/>
        </w:rPr>
      </w:pPr>
    </w:p>
    <w:p>
      <w:pPr>
        <w:ind w:left="520" w:hanging="436"/>
        <w:spacing w:after="0"/>
        <w:tabs>
          <w:tab w:leader="none" w:pos="5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matters that need to be specified: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360"/>
      </w:cols>
      <w:pgMar w:left="1440" w:top="1116"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2026-06-23T05:11:23Z</dcterms:created>
  <dcterms:modified xsi:type="dcterms:W3CDTF">2026-06-23T05:11:23Z</dcterms:modified>
</cp:coreProperties>
</file>