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227330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259080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left="180" w:right="259"/>
        <w:spacing w:after="0" w:line="263"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001-37928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251460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ChipMOS TECHNOLOGIES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227330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 1, R&amp;D Rd. 1, Hsinchu Science Park</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Hsinchu, Taiwan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Republic of China</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227965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200"/>
        <w:spacing w:after="0" w:line="207" w:lineRule="exact"/>
        <w:tabs>
          <w:tab w:leader="none" w:pos="4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1530985</wp:posOffset>
            </wp:positionV>
            <wp:extent cx="70377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154940</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231775</wp:posOffset>
            </wp:positionV>
            <wp:extent cx="6172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left="660" w:right="760" w:firstLine="441"/>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Dated: May 26, 2026</w:t>
            </w:r>
          </w:p>
        </w:tc>
        <w:tc>
          <w:tcPr>
            <w:tcW w:w="7100" w:type="dxa"/>
            <w:vAlign w:val="bottom"/>
            <w:gridSpan w:val="5"/>
          </w:tcPr>
          <w:p>
            <w:pPr>
              <w:ind w:left="1600"/>
              <w:spacing w:after="0"/>
              <w:rPr>
                <w:sz w:val="20"/>
                <w:szCs w:val="20"/>
                <w:color w:val="auto"/>
              </w:rPr>
            </w:pPr>
            <w:r>
              <w:rPr>
                <w:rFonts w:ascii="Times New Roman" w:cs="Times New Roman" w:eastAsia="Times New Roman" w:hAnsi="Times New Roman"/>
                <w:sz w:val="20"/>
                <w:szCs w:val="20"/>
                <w:color w:val="auto"/>
              </w:rPr>
              <w:t>ChipMOS TECHNOLOGIES INC.</w:t>
            </w:r>
          </w:p>
        </w:tc>
      </w:tr>
      <w:tr>
        <w:trPr>
          <w:trHeight w:val="256"/>
        </w:trPr>
        <w:tc>
          <w:tcPr>
            <w:tcW w:w="39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80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20"/>
                <w:szCs w:val="20"/>
                <w:color w:val="auto"/>
              </w:rPr>
              <w:t>(Registrant)</w:t>
            </w:r>
          </w:p>
        </w:tc>
        <w:tc>
          <w:tcPr>
            <w:tcW w:w="2700" w:type="dxa"/>
            <w:vAlign w:val="bottom"/>
            <w:gridSpan w:val="2"/>
          </w:tcPr>
          <w:p>
            <w:pPr>
              <w:spacing w:after="0"/>
              <w:rPr>
                <w:sz w:val="22"/>
                <w:szCs w:val="22"/>
                <w:color w:val="auto"/>
              </w:rPr>
            </w:pPr>
          </w:p>
        </w:tc>
      </w:tr>
      <w:tr>
        <w:trPr>
          <w:trHeight w:val="453"/>
        </w:trPr>
        <w:tc>
          <w:tcPr>
            <w:tcW w:w="3940" w:type="dxa"/>
            <w:vAlign w:val="bottom"/>
          </w:tcPr>
          <w:p>
            <w:pPr>
              <w:spacing w:after="0"/>
              <w:rPr>
                <w:sz w:val="24"/>
                <w:szCs w:val="24"/>
                <w:color w:val="auto"/>
              </w:rPr>
            </w:pPr>
          </w:p>
        </w:tc>
        <w:tc>
          <w:tcPr>
            <w:tcW w:w="2320" w:type="dxa"/>
            <w:vAlign w:val="bottom"/>
            <w:gridSpan w:val="2"/>
          </w:tcPr>
          <w:p>
            <w:pPr>
              <w:ind w:left="1600"/>
              <w:spacing w:after="0"/>
              <w:rPr>
                <w:sz w:val="20"/>
                <w:szCs w:val="20"/>
                <w:color w:val="auto"/>
              </w:rPr>
            </w:pPr>
            <w:r>
              <w:rPr>
                <w:rFonts w:ascii="Times New Roman" w:cs="Times New Roman" w:eastAsia="Times New Roman" w:hAnsi="Times New Roman"/>
                <w:sz w:val="20"/>
                <w:szCs w:val="20"/>
                <w:color w:val="auto"/>
              </w:rPr>
              <w:t>By:</w:t>
            </w:r>
          </w:p>
        </w:tc>
        <w:tc>
          <w:tcPr>
            <w:tcW w:w="4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 S. J. Cheng</w:t>
            </w:r>
          </w:p>
        </w:tc>
      </w:tr>
      <w:tr>
        <w:trPr>
          <w:trHeight w:val="227"/>
        </w:trPr>
        <w:tc>
          <w:tcPr>
            <w:tcW w:w="3940" w:type="dxa"/>
            <w:vAlign w:val="bottom"/>
          </w:tcPr>
          <w:p>
            <w:pPr>
              <w:spacing w:after="0"/>
              <w:rPr>
                <w:sz w:val="19"/>
                <w:szCs w:val="19"/>
                <w:color w:val="auto"/>
              </w:rPr>
            </w:pPr>
          </w:p>
        </w:tc>
        <w:tc>
          <w:tcPr>
            <w:tcW w:w="2320" w:type="dxa"/>
            <w:vAlign w:val="bottom"/>
            <w:gridSpan w:val="2"/>
          </w:tcPr>
          <w:p>
            <w:pPr>
              <w:ind w:left="1600"/>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4120" w:type="dxa"/>
            <w:vAlign w:val="bottom"/>
            <w:tcBorders>
              <w:top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S. J. Cheng</w:t>
            </w:r>
          </w:p>
        </w:tc>
        <w:tc>
          <w:tcPr>
            <w:tcW w:w="660" w:type="dxa"/>
            <w:vAlign w:val="bottom"/>
          </w:tcPr>
          <w:p>
            <w:pPr>
              <w:spacing w:after="0"/>
              <w:rPr>
                <w:sz w:val="19"/>
                <w:szCs w:val="19"/>
                <w:color w:val="auto"/>
              </w:rPr>
            </w:pPr>
          </w:p>
        </w:tc>
      </w:tr>
      <w:tr>
        <w:trPr>
          <w:trHeight w:val="258"/>
        </w:trPr>
        <w:tc>
          <w:tcPr>
            <w:tcW w:w="3940" w:type="dxa"/>
            <w:vAlign w:val="bottom"/>
          </w:tcPr>
          <w:p>
            <w:pPr>
              <w:spacing w:after="0"/>
              <w:rPr>
                <w:sz w:val="22"/>
                <w:szCs w:val="22"/>
                <w:color w:val="auto"/>
              </w:rPr>
            </w:pPr>
          </w:p>
        </w:tc>
        <w:tc>
          <w:tcPr>
            <w:tcW w:w="2320" w:type="dxa"/>
            <w:vAlign w:val="bottom"/>
            <w:gridSpan w:val="2"/>
          </w:tcPr>
          <w:p>
            <w:pPr>
              <w:ind w:left="1600"/>
              <w:spacing w:after="0"/>
              <w:rPr>
                <w:sz w:val="20"/>
                <w:szCs w:val="20"/>
                <w:color w:val="auto"/>
              </w:rPr>
            </w:pPr>
            <w:r>
              <w:rPr>
                <w:rFonts w:ascii="Times New Roman" w:cs="Times New Roman" w:eastAsia="Times New Roman" w:hAnsi="Times New Roman"/>
                <w:sz w:val="20"/>
                <w:szCs w:val="20"/>
                <w:color w:val="auto"/>
              </w:rPr>
              <w:t>Title:</w:t>
            </w:r>
          </w:p>
        </w:tc>
        <w:tc>
          <w:tcPr>
            <w:tcW w:w="4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Chairman &amp; President</w:t>
            </w:r>
          </w:p>
        </w:tc>
      </w:tr>
      <w:tr>
        <w:trPr>
          <w:trHeight w:val="1634"/>
        </w:trPr>
        <w:tc>
          <w:tcPr>
            <w:tcW w:w="39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09" w:right="439" w:bottom="1440" w:gutter="0" w:footer="0" w:header="0"/>
        </w:sectPr>
      </w:pPr>
    </w:p>
    <w:bookmarkStart w:id="2" w:name="page3"/>
    <w:bookmarkEnd w:id="2"/>
    <w:p>
      <w:pPr>
        <w:jc w:val="both"/>
        <w:ind w:left="300" w:right="299"/>
        <w:spacing w:after="0" w:line="246" w:lineRule="auto"/>
        <w:rPr>
          <w:sz w:val="20"/>
          <w:szCs w:val="20"/>
          <w:color w:val="auto"/>
        </w:rPr>
      </w:pPr>
      <w:r>
        <w:rPr>
          <w:rFonts w:ascii="Times New Roman" w:cs="Times New Roman" w:eastAsia="Times New Roman" w:hAnsi="Times New Roman"/>
          <w:sz w:val="19"/>
          <w:szCs w:val="19"/>
          <w:color w:val="auto"/>
        </w:rPr>
        <w:t>On May 26, 2026, ChipMOS TECHNOLOGIES INC. (the “Company”) (Taiwan Stock Exchange: 8150 and Nasdaq: IMOS) made a public announcement on the Market Observation Post System in Taiwan (“MOPS”) that the Company held its 2026 annual shareholders’ meeting (the “2026 AGM”), at which the following matters were resolved:</w:t>
      </w:r>
    </w:p>
    <w:p>
      <w:pPr>
        <w:spacing w:after="0" w:line="184" w:lineRule="exact"/>
        <w:rPr>
          <w:sz w:val="20"/>
          <w:szCs w:val="20"/>
          <w:color w:val="auto"/>
        </w:rPr>
      </w:pPr>
    </w:p>
    <w:p>
      <w:pPr>
        <w:ind w:left="1180" w:hanging="448"/>
        <w:spacing w:after="0"/>
        <w:tabs>
          <w:tab w:leader="none" w:pos="118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Ratification of the fiscal year 2025 earnings distribution plan;</w:t>
      </w:r>
    </w:p>
    <w:p>
      <w:pPr>
        <w:spacing w:after="0" w:line="213" w:lineRule="exact"/>
        <w:rPr>
          <w:rFonts w:ascii="Times New Roman" w:cs="Times New Roman" w:eastAsia="Times New Roman" w:hAnsi="Times New Roman"/>
          <w:sz w:val="19"/>
          <w:szCs w:val="19"/>
          <w:color w:val="auto"/>
        </w:rPr>
      </w:pPr>
    </w:p>
    <w:p>
      <w:pPr>
        <w:ind w:left="1180" w:right="319" w:hanging="448"/>
        <w:spacing w:after="0" w:line="265" w:lineRule="auto"/>
        <w:tabs>
          <w:tab w:leader="none" w:pos="118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Ratification of the Company’s fiscal year 2025 business report and, consolidated and non-consolidated financial statements;</w:t>
      </w:r>
    </w:p>
    <w:p>
      <w:pPr>
        <w:spacing w:after="0" w:line="165" w:lineRule="exact"/>
        <w:rPr>
          <w:rFonts w:ascii="Times New Roman" w:cs="Times New Roman" w:eastAsia="Times New Roman" w:hAnsi="Times New Roman"/>
          <w:sz w:val="19"/>
          <w:szCs w:val="19"/>
          <w:color w:val="auto"/>
        </w:rPr>
      </w:pPr>
    </w:p>
    <w:p>
      <w:pPr>
        <w:ind w:left="1180" w:hanging="448"/>
        <w:spacing w:after="0"/>
        <w:tabs>
          <w:tab w:leader="none" w:pos="118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Approved cash distribution to shareholders from capital surplus; and</w:t>
      </w:r>
    </w:p>
    <w:p>
      <w:pPr>
        <w:spacing w:after="0" w:line="213" w:lineRule="exact"/>
        <w:rPr>
          <w:rFonts w:ascii="Times New Roman" w:cs="Times New Roman" w:eastAsia="Times New Roman" w:hAnsi="Times New Roman"/>
          <w:sz w:val="19"/>
          <w:szCs w:val="19"/>
          <w:color w:val="auto"/>
        </w:rPr>
      </w:pPr>
    </w:p>
    <w:p>
      <w:pPr>
        <w:ind w:left="1180" w:right="299" w:hanging="448"/>
        <w:spacing w:after="0" w:line="265" w:lineRule="auto"/>
        <w:tabs>
          <w:tab w:leader="none" w:pos="118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Approval of releasing the directors from the restriction of engaging in businesses competing with the Company pursuant to Article 209 of the Company Act.</w:t>
      </w:r>
    </w:p>
    <w:p>
      <w:pPr>
        <w:spacing w:after="0" w:line="166" w:lineRule="exact"/>
        <w:rPr>
          <w:sz w:val="20"/>
          <w:szCs w:val="20"/>
          <w:color w:val="auto"/>
        </w:rPr>
      </w:pPr>
    </w:p>
    <w:p>
      <w:pPr>
        <w:jc w:val="both"/>
        <w:ind w:left="300" w:right="319"/>
        <w:spacing w:after="0" w:line="246" w:lineRule="auto"/>
        <w:rPr>
          <w:sz w:val="20"/>
          <w:szCs w:val="20"/>
          <w:color w:val="auto"/>
        </w:rPr>
      </w:pPr>
      <w:r>
        <w:rPr>
          <w:rFonts w:ascii="Times New Roman" w:cs="Times New Roman" w:eastAsia="Times New Roman" w:hAnsi="Times New Roman"/>
          <w:sz w:val="19"/>
          <w:szCs w:val="19"/>
          <w:color w:val="auto"/>
        </w:rPr>
        <w:t>For each of the matters 1 to 4, the resolutions approved were those previously proposed by the Board of Directors to shareholders in the 2026 Annual Shareholders’ Meeting Handbook, a copy of which is attached as Exhibit 99.4 to the Company’s Form 6-K (File No. 001-37928) as filed with the U.S. Securities and Exchange Commission on April 24, 2026.</w:t>
      </w:r>
    </w:p>
    <w:p>
      <w:pPr>
        <w:spacing w:after="0" w:line="184"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19"/>
          <w:szCs w:val="19"/>
          <w:color w:val="auto"/>
        </w:rPr>
        <w:t>On matter (4), under Article 209 of the Company Act, a director who engages in business on behalf of another person that is within the scope of the Company’s business shall explain at the shareholders’ meeting the essential contents of such act and obtain the approval at the shareholders’ meeting. The 2026 AGM resolved that the non-compete restriction on one director and two independent directors, be released in accordance with Article 209 of the Company Act. This was approved by a majority of the voting shares at the shareholders’ meeting attended by shareholders representing at least two-thirds of the voting shares of the Company. The essential contents of competitive conduct in which these directors are permitted to engage are as follows:</w:t>
      </w:r>
    </w:p>
    <w:p>
      <w:pPr>
        <w:spacing w:after="0" w:line="186" w:lineRule="exact"/>
        <w:rPr>
          <w:sz w:val="20"/>
          <w:szCs w:val="20"/>
          <w:color w:val="auto"/>
        </w:rPr>
      </w:pPr>
    </w:p>
    <w:p>
      <w:pPr>
        <w:ind w:left="1180" w:hanging="448"/>
        <w:spacing w:after="0"/>
        <w:tabs>
          <w:tab w:leader="none" w:pos="11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Director Kun-Yi Chien:</w:t>
      </w:r>
    </w:p>
    <w:p>
      <w:pPr>
        <w:spacing w:after="0" w:line="105" w:lineRule="exact"/>
        <w:rPr>
          <w:rFonts w:ascii="Times New Roman" w:cs="Times New Roman" w:eastAsia="Times New Roman" w:hAnsi="Times New Roman"/>
          <w:sz w:val="19"/>
          <w:szCs w:val="19"/>
          <w:color w:val="auto"/>
        </w:rPr>
      </w:pPr>
    </w:p>
    <w:p>
      <w:pPr>
        <w:ind w:left="1400" w:right="319" w:hanging="201"/>
        <w:spacing w:after="0" w:line="265" w:lineRule="auto"/>
        <w:tabs>
          <w:tab w:leader="none" w:pos="1419" w:val="left"/>
        </w:tabs>
        <w:numPr>
          <w:ilvl w:val="1"/>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Independent Director / Remuneration Committee Member of AceGreen Eco-Material Technology Co., Ltd.</w:t>
      </w:r>
    </w:p>
    <w:p>
      <w:pPr>
        <w:spacing w:after="0" w:line="57" w:lineRule="exact"/>
        <w:rPr>
          <w:rFonts w:ascii="Times New Roman" w:cs="Times New Roman" w:eastAsia="Times New Roman" w:hAnsi="Times New Roman"/>
          <w:sz w:val="19"/>
          <w:szCs w:val="19"/>
          <w:color w:val="auto"/>
        </w:rPr>
      </w:pPr>
    </w:p>
    <w:p>
      <w:pPr>
        <w:ind w:left="1180" w:hanging="448"/>
        <w:spacing w:after="0"/>
        <w:tabs>
          <w:tab w:leader="none" w:pos="11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Independent Director Jyh-Chau Wang:</w:t>
      </w:r>
    </w:p>
    <w:p>
      <w:pPr>
        <w:spacing w:after="0" w:line="105" w:lineRule="exact"/>
        <w:rPr>
          <w:rFonts w:ascii="Times New Roman" w:cs="Times New Roman" w:eastAsia="Times New Roman" w:hAnsi="Times New Roman"/>
          <w:sz w:val="19"/>
          <w:szCs w:val="19"/>
          <w:color w:val="auto"/>
        </w:rPr>
      </w:pPr>
    </w:p>
    <w:p>
      <w:pPr>
        <w:ind w:left="1300" w:hanging="101"/>
        <w:spacing w:after="0"/>
        <w:tabs>
          <w:tab w:leader="none" w:pos="1300" w:val="left"/>
        </w:tabs>
        <w:numPr>
          <w:ilvl w:val="1"/>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Chairman of Advanced Micro Lux Holding Limited</w:t>
      </w:r>
    </w:p>
    <w:p>
      <w:pPr>
        <w:spacing w:after="0" w:line="105" w:lineRule="exact"/>
        <w:rPr>
          <w:rFonts w:ascii="Times New Roman" w:cs="Times New Roman" w:eastAsia="Times New Roman" w:hAnsi="Times New Roman"/>
          <w:sz w:val="19"/>
          <w:szCs w:val="19"/>
          <w:color w:val="auto"/>
        </w:rPr>
      </w:pPr>
    </w:p>
    <w:p>
      <w:pPr>
        <w:ind w:left="1300" w:hanging="101"/>
        <w:spacing w:after="0"/>
        <w:tabs>
          <w:tab w:leader="none" w:pos="1300" w:val="left"/>
        </w:tabs>
        <w:numPr>
          <w:ilvl w:val="1"/>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Director of Epileds Technologies, Inc.</w:t>
      </w:r>
    </w:p>
    <w:p>
      <w:pPr>
        <w:spacing w:after="0" w:line="105" w:lineRule="exact"/>
        <w:rPr>
          <w:rFonts w:ascii="Times New Roman" w:cs="Times New Roman" w:eastAsia="Times New Roman" w:hAnsi="Times New Roman"/>
          <w:sz w:val="19"/>
          <w:szCs w:val="19"/>
          <w:color w:val="auto"/>
        </w:rPr>
      </w:pPr>
    </w:p>
    <w:p>
      <w:pPr>
        <w:ind w:left="1180" w:hanging="448"/>
        <w:spacing w:after="0"/>
        <w:tabs>
          <w:tab w:leader="none" w:pos="11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Independent Director Hong-Tzer Yang:</w:t>
      </w:r>
    </w:p>
    <w:p>
      <w:pPr>
        <w:spacing w:after="0" w:line="105" w:lineRule="exact"/>
        <w:rPr>
          <w:rFonts w:ascii="Times New Roman" w:cs="Times New Roman" w:eastAsia="Times New Roman" w:hAnsi="Times New Roman"/>
          <w:sz w:val="19"/>
          <w:szCs w:val="19"/>
          <w:color w:val="auto"/>
        </w:rPr>
      </w:pPr>
    </w:p>
    <w:p>
      <w:pPr>
        <w:ind w:left="1300" w:hanging="101"/>
        <w:spacing w:after="0"/>
        <w:tabs>
          <w:tab w:leader="none" w:pos="1300" w:val="left"/>
        </w:tabs>
        <w:numPr>
          <w:ilvl w:val="1"/>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Director of Taiwan Power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962660</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sectPr>
      <w:pgSz w:w="11900" w:h="16838" w:orient="portrait"/>
      <w:cols w:equalWidth="0" w:num="1">
        <w:col w:w="9019"/>
      </w:cols>
      <w:pgMar w:left="1440" w:top="1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Roman"/>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2026-05-26T05:12:10Z</dcterms:created>
  <dcterms:modified xsi:type="dcterms:W3CDTF">2026-05-26T05:12:10Z</dcterms:modified>
</cp:coreProperties>
</file>