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jc w:val="right"/>
        <w:rPr/>
      </w:pPr>
      <w:bookmarkStart w:id="0" w:name="imos-6-k-board_resolutio.htm"/>
      <w:bookmarkStart w:id="1" w:name="ksimos6kboard_resolutio"/>
      <w:bookmarkEnd w:id="0"/>
      <w:bookmarkEnd w:id="1"/>
      <w:r>
        <w:rPr/>
        <w:t> </w:t>
      </w:r>
    </w:p>
    <w:p>
      <w:pPr>
        <w:pStyle w:val="TextBody"/>
        <w:bidi w:val="0"/>
        <w:spacing w:before="80" w:after="283"/>
        <w:jc w:val="center"/>
        <w:rPr>
          <w:rFonts w:ascii="Times New Roman" w:hAnsi="Times New Roman"/>
          <w:b/>
          <w:color w:val="000000"/>
          <w:sz w:val="28"/>
        </w:rPr>
      </w:pPr>
      <w:r>
        <w:rPr>
          <w:rFonts w:ascii="Times New Roman" w:hAnsi="Times New Roman"/>
          <w:b/>
          <w:color w:val="000000"/>
          <w:sz w:val="28"/>
        </w:rPr>
        <w:t>UNITED STATES</w:t>
      </w:r>
    </w:p>
    <w:p>
      <w:pPr>
        <w:pStyle w:val="TextBody"/>
        <w:bidi w:val="0"/>
        <w:spacing w:before="80" w:after="283"/>
        <w:jc w:val="center"/>
        <w:rPr>
          <w:rFonts w:ascii="Times New Roman" w:hAnsi="Times New Roman"/>
          <w:sz w:val="20"/>
        </w:rPr>
      </w:pPr>
      <w:r>
        <w:rPr>
          <w:rFonts w:ascii="Times New Roman" w:hAnsi="Times New Roman"/>
          <w:b/>
          <w:color w:val="000000"/>
          <w:sz w:val="28"/>
        </w:rPr>
        <w:t>SECURITIES AND EXCHANGE COMMISSION</w:t>
      </w:r>
      <w:r>
        <w:rPr>
          <w:rFonts w:ascii="Times New Roman" w:hAnsi="Times New Roman"/>
          <w:color w:val="000000"/>
          <w:sz w:val="20"/>
        </w:rPr>
        <w:t xml:space="preserve"> </w:t>
      </w:r>
    </w:p>
    <w:p>
      <w:pPr>
        <w:pStyle w:val="TextBody"/>
        <w:bidi w:val="0"/>
        <w:jc w:val="center"/>
        <w:rPr>
          <w:rFonts w:ascii="Times New Roman" w:hAnsi="Times New Roman"/>
          <w:sz w:val="20"/>
        </w:rPr>
      </w:pPr>
      <w:r>
        <w:rPr>
          <w:rFonts w:ascii="Times New Roman" w:hAnsi="Times New Roman"/>
          <w:b/>
          <w:color w:val="000000"/>
          <w:sz w:val="20"/>
        </w:rPr>
        <w:t>Washington, DC 20549</w:t>
      </w:r>
      <w:r>
        <w:rPr>
          <w:rFonts w:ascii="Times New Roman" w:hAnsi="Times New Roman"/>
          <w:color w:val="000000"/>
          <w:sz w:val="20"/>
        </w:rPr>
        <w:t xml:space="preserve"> </w:t>
      </w:r>
    </w:p>
    <w:p>
      <w:pPr>
        <w:pStyle w:val="TextBody"/>
        <w:bidi w:val="0"/>
        <w:spacing w:before="240" w:after="283"/>
        <w:ind w:left="4320" w:right="4320" w:hanging="0"/>
        <w:jc w:val="center"/>
        <w:rPr>
          <w:rFonts w:ascii="Times New Roman" w:hAnsi="Times New Roman"/>
          <w:sz w:val="20"/>
        </w:rPr>
      </w:pPr>
      <w:r>
        <w:rPr>
          <w:rFonts w:ascii="Times New Roman" w:hAnsi="Times New Roman"/>
          <w:b/>
          <w:color w:val="000000"/>
          <w:sz w:val="36"/>
        </w:rPr>
        <w:t>FORM 6-K</w:t>
      </w:r>
      <w:r>
        <w:rPr>
          <w:rFonts w:ascii="Times New Roman" w:hAnsi="Times New Roman"/>
          <w:color w:val="000000"/>
          <w:sz w:val="20"/>
        </w:rPr>
        <w:t xml:space="preserve"> </w:t>
      </w:r>
    </w:p>
    <w:p>
      <w:pPr>
        <w:pStyle w:val="TextBody"/>
        <w:bidi w:val="0"/>
        <w:spacing w:before="240" w:after="283"/>
        <w:ind w:left="4320" w:right="4320" w:hanging="0"/>
        <w:jc w:val="center"/>
        <w:rPr>
          <w:rFonts w:ascii="Times New Roman" w:hAnsi="Times New Roman"/>
          <w:sz w:val="20"/>
        </w:rPr>
      </w:pPr>
      <w:r>
        <w:rPr>
          <w:rFonts w:ascii="Times New Roman" w:hAnsi="Times New Roman"/>
          <w:b/>
          <w:color w:val="000000"/>
          <w:sz w:val="24"/>
        </w:rPr>
        <w:t>REPORT OF FOREIGN PRIVATE ISSUER</w:t>
      </w:r>
      <w:r>
        <w:rPr>
          <w:rFonts w:ascii="Times New Roman" w:hAnsi="Times New Roman"/>
          <w:color w:val="000000"/>
          <w:sz w:val="20"/>
        </w:rPr>
        <w:t xml:space="preserve"> </w:t>
      </w:r>
    </w:p>
    <w:p>
      <w:pPr>
        <w:pStyle w:val="TextBody"/>
        <w:bidi w:val="0"/>
        <w:jc w:val="center"/>
        <w:rPr>
          <w:rFonts w:ascii="Times New Roman" w:hAnsi="Times New Roman"/>
          <w:sz w:val="20"/>
        </w:rPr>
      </w:pPr>
      <w:r>
        <w:rPr>
          <w:rFonts w:ascii="Times New Roman" w:hAnsi="Times New Roman"/>
          <w:b/>
          <w:color w:val="000000"/>
          <w:sz w:val="24"/>
        </w:rPr>
        <w:t>PURSUANT TO RULE 13a-16 OR 15d-16 UNDER</w:t>
      </w:r>
      <w:r>
        <w:rPr>
          <w:rFonts w:ascii="Times New Roman" w:hAnsi="Times New Roman"/>
          <w:color w:val="000000"/>
          <w:sz w:val="20"/>
        </w:rPr>
        <w:t xml:space="preserve"> </w:t>
      </w:r>
    </w:p>
    <w:p>
      <w:pPr>
        <w:pStyle w:val="TextBody"/>
        <w:bidi w:val="0"/>
        <w:jc w:val="center"/>
        <w:rPr>
          <w:rFonts w:ascii="Times New Roman" w:hAnsi="Times New Roman"/>
          <w:sz w:val="20"/>
        </w:rPr>
      </w:pPr>
      <w:r>
        <w:rPr>
          <w:rFonts w:ascii="Times New Roman" w:hAnsi="Times New Roman"/>
          <w:b/>
          <w:color w:val="000000"/>
          <w:sz w:val="24"/>
        </w:rPr>
        <w:t>THE SECURITIES EXCHANGE ACT OF 1934</w:t>
      </w:r>
      <w:r>
        <w:rPr>
          <w:rFonts w:ascii="Times New Roman" w:hAnsi="Times New Roman"/>
          <w:color w:val="000000"/>
          <w:sz w:val="20"/>
        </w:rPr>
        <w:t xml:space="preserve"> </w:t>
      </w:r>
    </w:p>
    <w:p>
      <w:pPr>
        <w:pStyle w:val="TextBody"/>
        <w:bidi w:val="0"/>
        <w:spacing w:before="240" w:after="283"/>
        <w:jc w:val="center"/>
        <w:rPr>
          <w:rFonts w:ascii="Times New Roman" w:hAnsi="Times New Roman"/>
          <w:b/>
          <w:color w:val="000000"/>
          <w:sz w:val="20"/>
        </w:rPr>
      </w:pPr>
      <w:r>
        <w:rPr>
          <w:rFonts w:ascii="Times New Roman" w:hAnsi="Times New Roman"/>
          <w:b/>
          <w:color w:val="000000"/>
          <w:sz w:val="20"/>
        </w:rPr>
        <w:t>For the month of August 2026</w:t>
      </w:r>
    </w:p>
    <w:p>
      <w:pPr>
        <w:pStyle w:val="TextBody"/>
        <w:bidi w:val="0"/>
        <w:spacing w:before="240" w:after="283"/>
        <w:jc w:val="center"/>
        <w:rPr>
          <w:rFonts w:ascii="Times New Roman" w:hAnsi="Times New Roman"/>
          <w:b/>
          <w:color w:val="000000"/>
          <w:sz w:val="20"/>
        </w:rPr>
      </w:pPr>
      <w:r>
        <w:rPr>
          <w:rFonts w:ascii="Times New Roman" w:hAnsi="Times New Roman"/>
          <w:b/>
          <w:color w:val="000000"/>
          <w:sz w:val="20"/>
        </w:rPr>
        <w:t>Commission File Number 001-37928</w:t>
      </w:r>
    </w:p>
    <w:p>
      <w:pPr>
        <w:pStyle w:val="TextBody"/>
        <w:bidi w:val="0"/>
        <w:spacing w:before="240" w:after="283"/>
        <w:ind w:left="4320" w:right="4320" w:hanging="0"/>
        <w:jc w:val="center"/>
        <w:rPr>
          <w:rFonts w:ascii="Times New Roman" w:hAnsi="Times New Roman"/>
          <w:sz w:val="20"/>
        </w:rPr>
      </w:pPr>
      <w:r>
        <w:rPr>
          <w:rFonts w:ascii="Times New Roman" w:hAnsi="Times New Roman"/>
          <w:b/>
          <w:color w:val="000000"/>
          <w:sz w:val="48"/>
        </w:rPr>
        <w:t>ChipMOS TECHNOLOGIES INC.</w:t>
      </w:r>
      <w:r>
        <w:rPr>
          <w:rFonts w:ascii="Times New Roman" w:hAnsi="Times New Roman"/>
          <w:color w:val="000000"/>
          <w:sz w:val="20"/>
        </w:rPr>
        <w:t xml:space="preserve"> </w:t>
      </w:r>
    </w:p>
    <w:p>
      <w:pPr>
        <w:pStyle w:val="TextBody"/>
        <w:bidi w:val="0"/>
        <w:jc w:val="center"/>
        <w:rPr>
          <w:rFonts w:ascii="Times New Roman" w:hAnsi="Times New Roman"/>
          <w:sz w:val="20"/>
        </w:rPr>
      </w:pPr>
      <w:r>
        <w:rPr>
          <w:rFonts w:ascii="Times New Roman" w:hAnsi="Times New Roman"/>
          <w:b/>
          <w:color w:val="000000"/>
          <w:sz w:val="20"/>
        </w:rPr>
        <w:t>(Translation of Registrant’s Name into English)</w:t>
      </w:r>
      <w:r>
        <w:rPr>
          <w:rFonts w:ascii="Times New Roman" w:hAnsi="Times New Roman"/>
          <w:color w:val="000000"/>
          <w:sz w:val="20"/>
        </w:rPr>
        <w:t xml:space="preserve"> </w:t>
      </w:r>
    </w:p>
    <w:p>
      <w:pPr>
        <w:pStyle w:val="TextBody"/>
        <w:bidi w:val="0"/>
        <w:spacing w:before="240" w:after="283"/>
        <w:ind w:left="4320" w:right="4320" w:hanging="0"/>
        <w:jc w:val="center"/>
        <w:rPr>
          <w:rFonts w:ascii="Times New Roman" w:hAnsi="Times New Roman"/>
          <w:sz w:val="20"/>
        </w:rPr>
      </w:pPr>
      <w:r>
        <w:rPr>
          <w:rFonts w:ascii="Times New Roman" w:hAnsi="Times New Roman"/>
          <w:b/>
          <w:color w:val="000000"/>
          <w:sz w:val="20"/>
        </w:rPr>
        <w:t>No. 1, R&amp;D Rd. 1, Hsinchu Science Park</w:t>
      </w:r>
      <w:r>
        <w:rPr>
          <w:rFonts w:ascii="Times New Roman" w:hAnsi="Times New Roman"/>
          <w:color w:val="000000"/>
          <w:sz w:val="20"/>
        </w:rPr>
        <w:t xml:space="preserve"> </w:t>
      </w:r>
    </w:p>
    <w:p>
      <w:pPr>
        <w:pStyle w:val="TextBody"/>
        <w:bidi w:val="0"/>
        <w:jc w:val="center"/>
        <w:rPr>
          <w:rFonts w:ascii="Times New Roman" w:hAnsi="Times New Roman"/>
          <w:sz w:val="20"/>
        </w:rPr>
      </w:pPr>
      <w:r>
        <w:rPr>
          <w:rFonts w:ascii="Times New Roman" w:hAnsi="Times New Roman"/>
          <w:b/>
          <w:color w:val="000000"/>
          <w:sz w:val="20"/>
        </w:rPr>
        <w:t>Hsinchu, Taiwan</w:t>
      </w:r>
      <w:r>
        <w:rPr>
          <w:rFonts w:ascii="Times New Roman" w:hAnsi="Times New Roman"/>
          <w:color w:val="000000"/>
          <w:sz w:val="20"/>
        </w:rPr>
        <w:t xml:space="preserve"> </w:t>
      </w:r>
    </w:p>
    <w:p>
      <w:pPr>
        <w:pStyle w:val="TextBody"/>
        <w:bidi w:val="0"/>
        <w:jc w:val="center"/>
        <w:rPr>
          <w:rFonts w:ascii="Times New Roman" w:hAnsi="Times New Roman"/>
          <w:sz w:val="20"/>
        </w:rPr>
      </w:pPr>
      <w:r>
        <w:rPr>
          <w:rFonts w:ascii="Times New Roman" w:hAnsi="Times New Roman"/>
          <w:b/>
          <w:color w:val="000000"/>
          <w:sz w:val="20"/>
        </w:rPr>
        <w:t>Republic of China</w:t>
      </w:r>
      <w:r>
        <w:rPr>
          <w:rFonts w:ascii="Times New Roman" w:hAnsi="Times New Roman"/>
          <w:color w:val="000000"/>
          <w:sz w:val="20"/>
        </w:rPr>
        <w:t xml:space="preserve"> </w:t>
      </w:r>
    </w:p>
    <w:p>
      <w:pPr>
        <w:pStyle w:val="TextBody"/>
        <w:bidi w:val="0"/>
        <w:jc w:val="center"/>
        <w:rPr>
          <w:rFonts w:ascii="Times New Roman" w:hAnsi="Times New Roman"/>
          <w:sz w:val="20"/>
        </w:rPr>
      </w:pPr>
      <w:r>
        <w:rPr>
          <w:rFonts w:ascii="Times New Roman" w:hAnsi="Times New Roman"/>
          <w:b/>
          <w:color w:val="000000"/>
          <w:sz w:val="16"/>
        </w:rPr>
        <w:t>(Address of Principal Executive Offices)</w:t>
      </w:r>
      <w:r>
        <w:rPr>
          <w:rFonts w:ascii="Times New Roman" w:hAnsi="Times New Roman"/>
          <w:color w:val="000000"/>
          <w:sz w:val="20"/>
        </w:rPr>
        <w:t xml:space="preserve"> </w:t>
      </w:r>
    </w:p>
    <w:p>
      <w:pPr>
        <w:pStyle w:val="TextBody"/>
        <w:bidi w:val="0"/>
        <w:spacing w:before="240" w:after="283"/>
        <w:ind w:left="4320" w:right="4320" w:hanging="0"/>
        <w:jc w:val="center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 xml:space="preserve">(Indicate by check mark whether the registrant files or will file annual reports under cover of Form 20-F or Form 40-F.) </w:t>
      </w:r>
    </w:p>
    <w:p>
      <w:pPr>
        <w:pStyle w:val="TextBody"/>
        <w:bidi w:val="0"/>
        <w:spacing w:before="240" w:after="283"/>
        <w:jc w:val="center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 xml:space="preserve">Form 20-F ☒ Form 40-F ☐ </w:t>
      </w:r>
    </w:p>
    <w:p>
      <w:pPr>
        <w:pStyle w:val="TextBody"/>
        <w:bidi w:val="0"/>
        <w:jc w:val="left"/>
        <w:rPr/>
      </w:pPr>
      <w:r>
        <w:rPr/>
        <w:t> </w:t>
      </w:r>
    </w:p>
    <w:p>
      <w:pPr>
        <w:pStyle w:val="TextBody"/>
        <w:bidi w:val="0"/>
        <w:jc w:val="center"/>
        <w:rPr/>
      </w:pPr>
      <w:r>
        <w:rPr/>
        <w:t> </w:t>
      </w:r>
    </w:p>
    <w:p>
      <w:pPr>
        <w:pStyle w:val="HorizontalLine"/>
        <w:pBdr>
          <w:bottom w:val="double" w:sz="2" w:space="0" w:color="808080"/>
        </w:pBdr>
        <w:bidi w:val="0"/>
        <w:spacing w:before="0" w:after="283"/>
        <w:jc w:val="left"/>
        <w:rPr/>
      </w:pPr>
      <w:r>
        <w:rPr/>
      </w:r>
    </w:p>
    <w:p>
      <w:pPr>
        <w:pStyle w:val="TextBody"/>
        <w:bidi w:val="0"/>
        <w:jc w:val="right"/>
        <w:rPr/>
      </w:pPr>
      <w:r>
        <w:rPr/>
        <w:t> </w:t>
      </w:r>
    </w:p>
    <w:p>
      <w:pPr>
        <w:pStyle w:val="TextBody"/>
        <w:bidi w:val="0"/>
        <w:jc w:val="center"/>
        <w:rPr>
          <w:rFonts w:ascii="Times New Roman" w:hAnsi="Times New Roman"/>
          <w:sz w:val="20"/>
        </w:rPr>
      </w:pPr>
      <w:r>
        <w:rPr>
          <w:rFonts w:ascii="Times New Roman" w:hAnsi="Times New Roman"/>
          <w:b/>
          <w:color w:val="000000"/>
          <w:sz w:val="22"/>
        </w:rPr>
        <w:t>SIGNATURES</w:t>
      </w:r>
      <w:r>
        <w:rPr>
          <w:rFonts w:ascii="Times New Roman" w:hAnsi="Times New Roman"/>
          <w:color w:val="000000"/>
          <w:sz w:val="20"/>
        </w:rPr>
        <w:t xml:space="preserve"> </w:t>
      </w:r>
    </w:p>
    <w:p>
      <w:pPr>
        <w:pStyle w:val="TextBody"/>
        <w:bidi w:val="0"/>
        <w:spacing w:before="240" w:after="283"/>
        <w:ind w:left="0" w:right="0" w:firstLine="490"/>
        <w:jc w:val="left"/>
        <w:rPr>
          <w:rFonts w:ascii="Times New Roman" w:hAnsi="Times New Roman"/>
          <w:sz w:val="20"/>
        </w:rPr>
      </w:pPr>
      <w:r>
        <w:rPr>
          <w:rFonts w:ascii="Times New Roman" w:hAnsi="Times New Roman"/>
          <w:color w:val="000000"/>
          <w:sz w:val="22"/>
        </w:rPr>
        <w:t>Pursuant to the requirements of the Securities Exchange Act of 1934, the registrant has duly caused this report to be signed on its behalf by the undersigned, thereunto duly authorized.</w:t>
      </w:r>
      <w:r>
        <w:rPr>
          <w:rFonts w:ascii="Times New Roman" w:hAnsi="Times New Roman"/>
          <w:color w:val="000000"/>
          <w:sz w:val="20"/>
        </w:rPr>
        <w:t xml:space="preserve"> </w:t>
      </w:r>
    </w:p>
    <w:tbl>
      <w:tblPr>
        <w:tblW w:w="6168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371"/>
        <w:gridCol w:w="146"/>
        <w:gridCol w:w="146"/>
        <w:gridCol w:w="146"/>
        <w:gridCol w:w="784"/>
        <w:gridCol w:w="158"/>
        <w:gridCol w:w="2417"/>
      </w:tblGrid>
      <w:tr>
        <w:trPr/>
        <w:tc>
          <w:tcPr>
            <w:tcW w:w="23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41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71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both"/>
              <w:rPr/>
            </w:pPr>
            <w:r>
              <w:rPr/>
              <w:t> </w:t>
            </w:r>
          </w:p>
        </w:tc>
        <w:tc>
          <w:tcPr>
            <w:tcW w:w="146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both"/>
              <w:rPr/>
            </w:pPr>
            <w:r>
              <w:rPr/>
              <w:t> </w:t>
            </w:r>
          </w:p>
        </w:tc>
        <w:tc>
          <w:tcPr>
            <w:tcW w:w="146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both"/>
              <w:rPr/>
            </w:pPr>
            <w:r>
              <w:rPr/>
              <w:t> </w:t>
            </w:r>
          </w:p>
        </w:tc>
        <w:tc>
          <w:tcPr>
            <w:tcW w:w="146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both"/>
              <w:rPr/>
            </w:pPr>
            <w:r>
              <w:rPr/>
              <w:t> </w:t>
            </w:r>
          </w:p>
        </w:tc>
        <w:tc>
          <w:tcPr>
            <w:tcW w:w="784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both"/>
              <w:rPr/>
            </w:pPr>
            <w:r>
              <w:rPr/>
              <w:t> </w:t>
            </w:r>
          </w:p>
        </w:tc>
        <w:tc>
          <w:tcPr>
            <w:tcW w:w="158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both"/>
              <w:rPr/>
            </w:pPr>
            <w:r>
              <w:rPr/>
              <w:t> </w:t>
            </w:r>
          </w:p>
        </w:tc>
        <w:tc>
          <w:tcPr>
            <w:tcW w:w="2417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both"/>
              <w:rPr/>
            </w:pPr>
            <w:r>
              <w:rPr/>
              <w:t> </w:t>
            </w:r>
          </w:p>
        </w:tc>
      </w:tr>
      <w:tr>
        <w:trPr/>
        <w:tc>
          <w:tcPr>
            <w:tcW w:w="2371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both"/>
              <w:rPr>
                <w:rFonts w:ascii="Times New Roman" w:hAnsi="Times New Roman"/>
                <w:color w:val="000000"/>
                <w:sz w:val="22"/>
              </w:rPr>
            </w:pPr>
            <w:r>
              <w:rPr>
                <w:rFonts w:ascii="Times New Roman" w:hAnsi="Times New Roman"/>
                <w:color w:val="000000"/>
                <w:sz w:val="22"/>
              </w:rPr>
              <w:t>Dated: August 11, 2026</w:t>
            </w:r>
          </w:p>
        </w:tc>
        <w:tc>
          <w:tcPr>
            <w:tcW w:w="146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6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both"/>
              <w:rPr/>
            </w:pPr>
            <w:r>
              <w:rPr/>
              <w:t> </w:t>
            </w:r>
          </w:p>
        </w:tc>
        <w:tc>
          <w:tcPr>
            <w:tcW w:w="146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59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jc w:val="both"/>
              <w:rPr>
                <w:rFonts w:ascii="Times New Roman" w:hAnsi="Times New Roman"/>
                <w:color w:val="000000"/>
                <w:sz w:val="22"/>
                <w:u w:val="single"/>
              </w:rPr>
            </w:pPr>
            <w:r>
              <w:rPr>
                <w:rFonts w:ascii="Times New Roman" w:hAnsi="Times New Roman"/>
                <w:color w:val="000000"/>
                <w:sz w:val="22"/>
                <w:u w:val="single"/>
              </w:rPr>
              <w:t>ChipMOS TECHNOLOGIES INC.</w:t>
            </w:r>
          </w:p>
          <w:p>
            <w:pPr>
              <w:pStyle w:val="TableContents"/>
              <w:bidi w:val="0"/>
              <w:spacing w:before="0" w:after="283"/>
              <w:jc w:val="both"/>
              <w:rPr>
                <w:color w:val="000000"/>
              </w:rPr>
            </w:pPr>
            <w:r>
              <w:rPr>
                <w:color w:val="000000"/>
              </w:rPr>
              <w:t>        </w:t>
            </w:r>
            <w:r>
              <w:rPr>
                <w:rFonts w:ascii="Times New Roman" w:hAnsi="Times New Roman"/>
                <w:color w:val="000000"/>
                <w:sz w:val="22"/>
              </w:rPr>
              <w:t>(Registrant)</w:t>
            </w:r>
          </w:p>
        </w:tc>
      </w:tr>
      <w:tr>
        <w:trPr/>
        <w:tc>
          <w:tcPr>
            <w:tcW w:w="2371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both"/>
              <w:rPr/>
            </w:pPr>
            <w:r>
              <w:rPr/>
              <w:t> </w:t>
            </w:r>
          </w:p>
        </w:tc>
        <w:tc>
          <w:tcPr>
            <w:tcW w:w="292" w:type="dxa"/>
            <w:gridSpan w:val="2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both"/>
              <w:rPr/>
            </w:pPr>
            <w:r>
              <w:rPr/>
              <w:t> </w:t>
            </w:r>
          </w:p>
        </w:tc>
        <w:tc>
          <w:tcPr>
            <w:tcW w:w="930" w:type="dxa"/>
            <w:gridSpan w:val="2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both"/>
              <w:rPr/>
            </w:pPr>
            <w:r>
              <w:rPr/>
              <w:t> </w:t>
            </w:r>
          </w:p>
        </w:tc>
        <w:tc>
          <w:tcPr>
            <w:tcW w:w="2575" w:type="dxa"/>
            <w:gridSpan w:val="2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both"/>
              <w:rPr/>
            </w:pPr>
            <w:r>
              <w:rPr/>
              <w:t> </w:t>
            </w:r>
          </w:p>
        </w:tc>
      </w:tr>
      <w:tr>
        <w:trPr/>
        <w:tc>
          <w:tcPr>
            <w:tcW w:w="2371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both"/>
              <w:rPr/>
            </w:pPr>
            <w:r>
              <w:rPr/>
              <w:t> </w:t>
            </w:r>
          </w:p>
        </w:tc>
        <w:tc>
          <w:tcPr>
            <w:tcW w:w="146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6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both"/>
              <w:rPr/>
            </w:pPr>
            <w:r>
              <w:rPr/>
              <w:t> </w:t>
            </w:r>
          </w:p>
        </w:tc>
        <w:tc>
          <w:tcPr>
            <w:tcW w:w="146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4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both"/>
              <w:rPr>
                <w:rFonts w:ascii="Times New Roman" w:hAnsi="Times New Roman"/>
                <w:color w:val="000000"/>
                <w:sz w:val="22"/>
              </w:rPr>
            </w:pPr>
            <w:r>
              <w:rPr>
                <w:rFonts w:ascii="Times New Roman" w:hAnsi="Times New Roman"/>
                <w:color w:val="000000"/>
                <w:sz w:val="22"/>
              </w:rPr>
              <w:t>By:</w:t>
            </w:r>
          </w:p>
        </w:tc>
        <w:tc>
          <w:tcPr>
            <w:tcW w:w="158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417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pBdr>
                <w:bottom w:val="single" w:sz="6" w:space="1" w:color="000000"/>
              </w:pBdr>
              <w:bidi w:val="0"/>
              <w:spacing w:before="0" w:after="20"/>
              <w:jc w:val="both"/>
              <w:rPr>
                <w:rFonts w:ascii="Times New Roman" w:hAnsi="Times New Roman"/>
                <w:color w:val="000000"/>
                <w:sz w:val="22"/>
              </w:rPr>
            </w:pPr>
            <w:r>
              <w:rPr>
                <w:rFonts w:ascii="Times New Roman" w:hAnsi="Times New Roman"/>
                <w:color w:val="000000"/>
                <w:sz w:val="22"/>
              </w:rPr>
              <w:t>/S/ S. J. Cheng</w:t>
            </w:r>
          </w:p>
        </w:tc>
      </w:tr>
      <w:tr>
        <w:trPr/>
        <w:tc>
          <w:tcPr>
            <w:tcW w:w="2371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both"/>
              <w:rPr/>
            </w:pPr>
            <w:r>
              <w:rPr/>
              <w:t> </w:t>
            </w:r>
          </w:p>
        </w:tc>
        <w:tc>
          <w:tcPr>
            <w:tcW w:w="146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6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both"/>
              <w:rPr/>
            </w:pPr>
            <w:r>
              <w:rPr/>
              <w:t> </w:t>
            </w:r>
          </w:p>
        </w:tc>
        <w:tc>
          <w:tcPr>
            <w:tcW w:w="146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4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both"/>
              <w:rPr>
                <w:rFonts w:ascii="Times New Roman" w:hAnsi="Times New Roman"/>
                <w:color w:val="000000"/>
                <w:sz w:val="22"/>
              </w:rPr>
            </w:pPr>
            <w:r>
              <w:rPr>
                <w:rFonts w:ascii="Times New Roman" w:hAnsi="Times New Roman"/>
                <w:color w:val="000000"/>
                <w:sz w:val="22"/>
              </w:rPr>
              <w:t>Name:</w:t>
            </w:r>
          </w:p>
        </w:tc>
        <w:tc>
          <w:tcPr>
            <w:tcW w:w="158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417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0"/>
              <w:jc w:val="both"/>
              <w:rPr>
                <w:rFonts w:ascii="Times New Roman" w:hAnsi="Times New Roman"/>
                <w:color w:val="000000"/>
                <w:sz w:val="22"/>
              </w:rPr>
            </w:pPr>
            <w:r>
              <w:rPr>
                <w:rFonts w:ascii="Times New Roman" w:hAnsi="Times New Roman"/>
                <w:color w:val="000000"/>
                <w:sz w:val="22"/>
              </w:rPr>
              <w:t>S. J. Cheng</w:t>
            </w:r>
          </w:p>
        </w:tc>
      </w:tr>
      <w:tr>
        <w:trPr/>
        <w:tc>
          <w:tcPr>
            <w:tcW w:w="2371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both"/>
              <w:rPr/>
            </w:pPr>
            <w:r>
              <w:rPr/>
              <w:t> </w:t>
            </w:r>
          </w:p>
        </w:tc>
        <w:tc>
          <w:tcPr>
            <w:tcW w:w="146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6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both"/>
              <w:rPr/>
            </w:pPr>
            <w:r>
              <w:rPr/>
              <w:t> </w:t>
            </w:r>
          </w:p>
        </w:tc>
        <w:tc>
          <w:tcPr>
            <w:tcW w:w="146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4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both"/>
              <w:rPr>
                <w:rFonts w:ascii="Times New Roman" w:hAnsi="Times New Roman"/>
                <w:color w:val="000000"/>
                <w:sz w:val="22"/>
              </w:rPr>
            </w:pPr>
            <w:r>
              <w:rPr>
                <w:rFonts w:ascii="Times New Roman" w:hAnsi="Times New Roman"/>
                <w:color w:val="000000"/>
                <w:sz w:val="22"/>
              </w:rPr>
              <w:t>Title:</w:t>
            </w:r>
          </w:p>
        </w:tc>
        <w:tc>
          <w:tcPr>
            <w:tcW w:w="158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417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0"/>
              <w:jc w:val="both"/>
              <w:rPr>
                <w:rFonts w:ascii="Times New Roman" w:hAnsi="Times New Roman"/>
                <w:color w:val="000000"/>
                <w:sz w:val="22"/>
              </w:rPr>
            </w:pPr>
            <w:r>
              <w:rPr>
                <w:rFonts w:ascii="Times New Roman" w:hAnsi="Times New Roman"/>
                <w:color w:val="000000"/>
                <w:sz w:val="22"/>
              </w:rPr>
              <w:t>Chairman &amp; President</w:t>
            </w:r>
          </w:p>
        </w:tc>
      </w:tr>
    </w:tbl>
    <w:p>
      <w:pPr>
        <w:pStyle w:val="TextBody"/>
        <w:bidi w:val="0"/>
        <w:jc w:val="left"/>
        <w:rPr/>
      </w:pPr>
      <w:r>
        <w:rPr/>
        <w:t> </w:t>
      </w:r>
    </w:p>
    <w:p>
      <w:pPr>
        <w:pStyle w:val="TextBody"/>
        <w:bidi w:val="0"/>
        <w:jc w:val="center"/>
        <w:rPr/>
      </w:pPr>
      <w:r>
        <w:rPr/>
        <w:t> </w:t>
      </w:r>
    </w:p>
    <w:p>
      <w:pPr>
        <w:pStyle w:val="HorizontalLine"/>
        <w:pBdr>
          <w:bottom w:val="double" w:sz="2" w:space="0" w:color="808080"/>
        </w:pBdr>
        <w:bidi w:val="0"/>
        <w:spacing w:before="0" w:after="283"/>
        <w:jc w:val="left"/>
        <w:rPr/>
      </w:pPr>
      <w:r>
        <w:rPr/>
      </w:r>
    </w:p>
    <w:p>
      <w:pPr>
        <w:pStyle w:val="TextBody"/>
        <w:bidi w:val="0"/>
        <w:jc w:val="right"/>
        <w:rPr/>
      </w:pPr>
      <w:r>
        <w:rPr/>
        <w:t> </w:t>
      </w:r>
    </w:p>
    <w:p>
      <w:pPr>
        <w:pStyle w:val="TextBody"/>
        <w:bidi w:val="0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color w:val="000000"/>
          <w:sz w:val="22"/>
        </w:rPr>
        <w:t>On August 11, 2026, ChipMOS TECHNOLOGIES INC. (the “Company”) (Taiwan Stock Exchange: 8150 and Nasdaq: IMOS) held the 19</w:t>
      </w:r>
      <w:r>
        <w:rPr>
          <w:rFonts w:ascii="Times New Roman" w:hAnsi="Times New Roman"/>
          <w:color w:val="000000"/>
          <w:sz w:val="15"/>
        </w:rPr>
        <w:t>th</w:t>
      </w:r>
      <w:r>
        <w:rPr>
          <w:rFonts w:ascii="Times New Roman" w:hAnsi="Times New Roman"/>
          <w:color w:val="000000"/>
          <w:sz w:val="20"/>
        </w:rPr>
        <w:t xml:space="preserve"> </w:t>
      </w:r>
      <w:r>
        <w:rPr>
          <w:rFonts w:ascii="Times New Roman" w:hAnsi="Times New Roman"/>
          <w:color w:val="000000"/>
          <w:sz w:val="22"/>
        </w:rPr>
        <w:t>meeting of its 11</w:t>
      </w:r>
      <w:r>
        <w:rPr>
          <w:rFonts w:ascii="Times New Roman" w:hAnsi="Times New Roman"/>
          <w:color w:val="000000"/>
          <w:sz w:val="15"/>
        </w:rPr>
        <w:t>th</w:t>
      </w:r>
      <w:r>
        <w:rPr>
          <w:rFonts w:ascii="Times New Roman" w:hAnsi="Times New Roman"/>
          <w:color w:val="000000"/>
          <w:sz w:val="20"/>
        </w:rPr>
        <w:t xml:space="preserve"> </w:t>
      </w:r>
      <w:r>
        <w:rPr>
          <w:rFonts w:ascii="Times New Roman" w:hAnsi="Times New Roman"/>
          <w:color w:val="000000"/>
          <w:sz w:val="22"/>
        </w:rPr>
        <w:t>Board of Directors (the “Board”), at which time the following matter was resolved with a public announcement made in Taiwan regarding such resolution:</w:t>
      </w:r>
    </w:p>
    <w:p>
      <w:pPr>
        <w:pStyle w:val="TextBody"/>
        <w:bidi w:val="0"/>
        <w:spacing w:before="120" w:after="283"/>
        <w:ind w:left="489" w:right="0" w:hanging="0"/>
        <w:jc w:val="both"/>
        <w:rPr>
          <w:rFonts w:ascii="Times New Roman" w:hAnsi="Times New Roman"/>
          <w:color w:val="000000"/>
          <w:sz w:val="22"/>
        </w:rPr>
      </w:pPr>
      <w:r>
        <w:rPr>
          <w:rFonts w:ascii="Times New Roman" w:hAnsi="Times New Roman"/>
          <w:color w:val="000000"/>
          <w:sz w:val="22"/>
        </w:rPr>
        <w:t>1.</w:t>
      </w:r>
    </w:p>
    <w:p>
      <w:pPr>
        <w:pStyle w:val="TextBody"/>
        <w:bidi w:val="0"/>
        <w:spacing w:before="120" w:after="283"/>
        <w:jc w:val="both"/>
        <w:rPr>
          <w:rFonts w:ascii="Times New Roman" w:hAnsi="Times New Roman"/>
          <w:color w:val="000000"/>
          <w:sz w:val="22"/>
        </w:rPr>
      </w:pPr>
      <w:r>
        <w:rPr>
          <w:rFonts w:ascii="Times New Roman" w:hAnsi="Times New Roman"/>
          <w:color w:val="000000"/>
          <w:sz w:val="22"/>
        </w:rPr>
        <w:t>Approval of the Company’s consolidated financial statements for the second quarter of 2026.</w:t>
      </w:r>
    </w:p>
    <w:p>
      <w:pPr>
        <w:pStyle w:val="TextBody"/>
        <w:bidi w:val="0"/>
        <w:spacing w:before="240" w:after="283"/>
        <w:jc w:val="both"/>
        <w:rPr>
          <w:rFonts w:ascii="Times New Roman" w:hAnsi="Times New Roman"/>
          <w:color w:val="000000"/>
          <w:sz w:val="22"/>
        </w:rPr>
      </w:pPr>
      <w:r>
        <w:rPr>
          <w:rFonts w:ascii="Times New Roman" w:hAnsi="Times New Roman"/>
          <w:color w:val="000000"/>
          <w:sz w:val="22"/>
        </w:rPr>
        <w:t>With respect to resolution 1, the Company’s consolidated results for the six-months period ended June 30, 2026 include:</w:t>
      </w:r>
    </w:p>
    <w:p>
      <w:pPr>
        <w:pStyle w:val="TextBody"/>
        <w:bidi w:val="0"/>
        <w:spacing w:before="120" w:after="283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color w:val="000000"/>
          <w:sz w:val="22"/>
        </w:rPr>
        <w:t>- operating revenue of NT$14,318,724 thousand,</w:t>
      </w:r>
      <w:r>
        <w:rPr>
          <w:rFonts w:ascii="Times New Roman" w:hAnsi="Times New Roman"/>
          <w:color w:val="000000"/>
          <w:sz w:val="20"/>
        </w:rPr>
        <w:t xml:space="preserve"> </w:t>
      </w:r>
    </w:p>
    <w:p>
      <w:pPr>
        <w:pStyle w:val="TextBody"/>
        <w:bidi w:val="0"/>
        <w:spacing w:before="120" w:after="283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color w:val="000000"/>
          <w:sz w:val="22"/>
        </w:rPr>
        <w:t>- gross profit from operations of NT$2,281,111 thousand,</w:t>
      </w:r>
      <w:r>
        <w:rPr>
          <w:rFonts w:ascii="Times New Roman" w:hAnsi="Times New Roman"/>
          <w:color w:val="000000"/>
          <w:sz w:val="20"/>
        </w:rPr>
        <w:t xml:space="preserve"> </w:t>
      </w:r>
    </w:p>
    <w:p>
      <w:pPr>
        <w:pStyle w:val="TextBody"/>
        <w:bidi w:val="0"/>
        <w:spacing w:before="120" w:after="283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color w:val="000000"/>
          <w:sz w:val="22"/>
        </w:rPr>
        <w:t>- operating profit of NT$1,467,699 thousand,</w:t>
      </w:r>
      <w:r>
        <w:rPr>
          <w:rFonts w:ascii="Times New Roman" w:hAnsi="Times New Roman"/>
          <w:color w:val="000000"/>
          <w:sz w:val="20"/>
        </w:rPr>
        <w:t xml:space="preserve"> </w:t>
      </w:r>
    </w:p>
    <w:p>
      <w:pPr>
        <w:pStyle w:val="TextBody"/>
        <w:bidi w:val="0"/>
        <w:spacing w:before="120" w:after="283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color w:val="000000"/>
          <w:sz w:val="22"/>
        </w:rPr>
        <w:t>- profit before income tax of NT$1,625,040 thousand,</w:t>
      </w:r>
      <w:r>
        <w:rPr>
          <w:rFonts w:ascii="Times New Roman" w:hAnsi="Times New Roman"/>
          <w:color w:val="000000"/>
          <w:sz w:val="20"/>
        </w:rPr>
        <w:t xml:space="preserve"> </w:t>
      </w:r>
    </w:p>
    <w:p>
      <w:pPr>
        <w:pStyle w:val="TextBody"/>
        <w:bidi w:val="0"/>
        <w:spacing w:before="120" w:after="283"/>
        <w:jc w:val="both"/>
        <w:rPr>
          <w:rFonts w:ascii="Times New Roman" w:hAnsi="Times New Roman"/>
          <w:color w:val="000000"/>
          <w:sz w:val="22"/>
        </w:rPr>
      </w:pPr>
      <w:r>
        <w:rPr>
          <w:rFonts w:ascii="Times New Roman" w:hAnsi="Times New Roman"/>
          <w:color w:val="000000"/>
          <w:sz w:val="22"/>
        </w:rPr>
        <w:t>- net profit of NT$1,396,549 thousand,</w:t>
      </w:r>
    </w:p>
    <w:p>
      <w:pPr>
        <w:pStyle w:val="TextBody"/>
        <w:bidi w:val="0"/>
        <w:spacing w:before="120" w:after="283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color w:val="000000"/>
          <w:sz w:val="22"/>
        </w:rPr>
        <w:t>- profit attributable to equity holders of the Company of NT$1,396,549 thousand,</w:t>
      </w:r>
      <w:r>
        <w:rPr>
          <w:rFonts w:ascii="Times New Roman" w:hAnsi="Times New Roman"/>
          <w:color w:val="000000"/>
          <w:sz w:val="20"/>
        </w:rPr>
        <w:t xml:space="preserve"> </w:t>
      </w:r>
    </w:p>
    <w:p>
      <w:pPr>
        <w:pStyle w:val="TextBody"/>
        <w:bidi w:val="0"/>
        <w:spacing w:before="120" w:after="283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color w:val="000000"/>
          <w:sz w:val="22"/>
        </w:rPr>
        <w:t>- basic earnings per share of NT$2.00; and</w:t>
      </w:r>
      <w:r>
        <w:rPr>
          <w:rFonts w:ascii="Times New Roman" w:hAnsi="Times New Roman"/>
          <w:color w:val="000000"/>
          <w:sz w:val="20"/>
        </w:rPr>
        <w:t xml:space="preserve"> </w:t>
      </w:r>
    </w:p>
    <w:p>
      <w:pPr>
        <w:pStyle w:val="TextBody"/>
        <w:bidi w:val="0"/>
        <w:spacing w:before="120" w:after="283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color w:val="000000"/>
          <w:sz w:val="22"/>
        </w:rPr>
        <w:t>as of June 30, 2026,</w:t>
      </w:r>
      <w:r>
        <w:rPr>
          <w:rFonts w:ascii="Times New Roman" w:hAnsi="Times New Roman"/>
          <w:color w:val="000000"/>
          <w:sz w:val="20"/>
        </w:rPr>
        <w:t xml:space="preserve"> </w:t>
      </w:r>
    </w:p>
    <w:p>
      <w:pPr>
        <w:pStyle w:val="TextBody"/>
        <w:bidi w:val="0"/>
        <w:spacing w:before="120" w:after="283"/>
        <w:jc w:val="both"/>
        <w:rPr>
          <w:rFonts w:ascii="Times New Roman" w:hAnsi="Times New Roman"/>
          <w:color w:val="000000"/>
          <w:sz w:val="22"/>
        </w:rPr>
      </w:pPr>
      <w:r>
        <w:rPr>
          <w:rFonts w:ascii="Times New Roman" w:hAnsi="Times New Roman"/>
          <w:color w:val="000000"/>
          <w:sz w:val="22"/>
        </w:rPr>
        <w:t>- total assets of NT$46,964,160 thousand,</w:t>
      </w:r>
    </w:p>
    <w:p>
      <w:pPr>
        <w:pStyle w:val="TextBody"/>
        <w:bidi w:val="0"/>
        <w:spacing w:before="120" w:after="283"/>
        <w:jc w:val="both"/>
        <w:rPr>
          <w:rFonts w:ascii="Times New Roman" w:hAnsi="Times New Roman"/>
          <w:color w:val="000000"/>
          <w:sz w:val="22"/>
        </w:rPr>
      </w:pPr>
      <w:r>
        <w:rPr>
          <w:rFonts w:ascii="Times New Roman" w:hAnsi="Times New Roman"/>
          <w:color w:val="000000"/>
          <w:sz w:val="22"/>
        </w:rPr>
        <w:t>- total liabilities of NT$22,114,066 thousand,</w:t>
      </w:r>
    </w:p>
    <w:p>
      <w:pPr>
        <w:pStyle w:val="TextBody"/>
        <w:bidi w:val="0"/>
        <w:spacing w:before="120" w:after="283"/>
        <w:jc w:val="both"/>
        <w:rPr>
          <w:rFonts w:ascii="Times New Roman" w:hAnsi="Times New Roman"/>
          <w:color w:val="000000"/>
          <w:sz w:val="22"/>
        </w:rPr>
      </w:pPr>
      <w:r>
        <w:rPr>
          <w:rFonts w:ascii="Times New Roman" w:hAnsi="Times New Roman"/>
          <w:color w:val="000000"/>
          <w:sz w:val="22"/>
        </w:rPr>
        <w:t>- equity attributable to equity holders of the Company of NT$24,850,094 thousand.</w:t>
      </w:r>
    </w:p>
    <w:p>
      <w:pPr>
        <w:pStyle w:val="TextBody"/>
        <w:bidi w:val="0"/>
        <w:jc w:val="center"/>
        <w:rPr/>
      </w:pPr>
      <w:r>
        <w:rPr/>
        <w:t> </w:t>
      </w:r>
    </w:p>
    <w:p>
      <w:pPr>
        <w:pStyle w:val="HorizontalLine"/>
        <w:pBdr>
          <w:bottom w:val="double" w:sz="2" w:space="0" w:color="808080"/>
        </w:pBdr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Times New Roman"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306</Words>
  <Characters>1668</Characters>
  <CharactersWithSpaces>1988</CharactersWithSpaces>
  <Paragraphs>69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