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right"/>
        <w:rPr/>
      </w:pPr>
      <w:bookmarkStart w:id="0" w:name="imos-6-k-board_resolutio.htm"/>
      <w:bookmarkStart w:id="1" w:name="ksimos6kboard_resolutio"/>
      <w:bookmarkEnd w:id="0"/>
      <w:bookmarkEnd w:id="1"/>
      <w:r>
        <w:rPr/>
        <w:t> 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Washington, DC 20549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REPORT OF FOREIGN PRIVATE ISSUER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PURSUANT TO RULE 13a-16 OR 15d-16 UNDER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THE SECURITIES EXCHANGE ACT OF 1934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For the month of May 2026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001-37928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48"/>
        </w:rPr>
        <w:t>ChipMOS TECHNOLOGIES INC.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(Translation of Registrant’s Name into English)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No. 1, R&amp;D Rd. 1, Hsinchu Science Park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Hsinchu, Taiwan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Republic of China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16"/>
        </w:rPr>
        <w:t>(Address of Principal Executive Offices)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(Indicate by check mark whether the registrant files or will file annual reports under cover of Form 20-F or Form 40-F.)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Form 20-F ☒ Form 40-F ☐ 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2"/>
        </w:rPr>
        <w:t>SIGNATURES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0" w:right="0" w:firstLine="49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Pursuant to the requirements of the Securities Exchange Act of 1934, the registrant has duly caused this report to be signed on its behalf by the undersigned, thereunto duly authorized.</w:t>
      </w:r>
      <w:r>
        <w:rPr>
          <w:rFonts w:ascii="Times New Roman" w:hAnsi="Times New Roman"/>
          <w:color w:val="000000"/>
          <w:sz w:val="20"/>
        </w:rPr>
        <w:t xml:space="preserve"> </w:t>
      </w:r>
    </w:p>
    <w:tbl>
      <w:tblPr>
        <w:tblW w:w="59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6"/>
        <w:gridCol w:w="146"/>
        <w:gridCol w:w="146"/>
        <w:gridCol w:w="146"/>
        <w:gridCol w:w="784"/>
        <w:gridCol w:w="158"/>
        <w:gridCol w:w="2417"/>
      </w:tblGrid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1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Dated: May 12, 2026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2"/>
                <w:u w:val="single"/>
              </w:rPr>
            </w:pPr>
            <w:r>
              <w:rPr>
                <w:rFonts w:ascii="Times New Roman" w:hAnsi="Times New Roman"/>
                <w:color w:val="000000"/>
                <w:sz w:val="22"/>
                <w:u w:val="single"/>
              </w:rPr>
              <w:t>ChipMOS TECHNOLOGIES INC.</w:t>
            </w:r>
          </w:p>
          <w:p>
            <w:pPr>
              <w:pStyle w:val="TableContents"/>
              <w:bidi w:val="0"/>
              <w:spacing w:before="0" w:after="283"/>
              <w:jc w:val="both"/>
              <w:rPr>
                <w:color w:val="000000"/>
              </w:rPr>
            </w:pPr>
            <w:r>
              <w:rPr>
                <w:color w:val="000000"/>
              </w:rPr>
              <w:t>        </w:t>
            </w:r>
            <w:r>
              <w:rPr>
                <w:rFonts w:ascii="Times New Roman" w:hAnsi="Times New Roman"/>
                <w:color w:val="000000"/>
                <w:sz w:val="22"/>
              </w:rPr>
              <w:t>(Registrant)</w:t>
            </w:r>
          </w:p>
        </w:tc>
      </w:tr>
      <w:tr>
        <w:trPr/>
        <w:tc>
          <w:tcPr>
            <w:tcW w:w="21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92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930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575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1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By: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/S/ S. J. Cheng</w:t>
            </w:r>
          </w:p>
        </w:tc>
      </w:tr>
      <w:tr>
        <w:trPr/>
        <w:tc>
          <w:tcPr>
            <w:tcW w:w="21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Name: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S. J. Cheng</w:t>
            </w:r>
          </w:p>
        </w:tc>
      </w:tr>
      <w:tr>
        <w:trPr/>
        <w:tc>
          <w:tcPr>
            <w:tcW w:w="21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Title:</w:t>
            </w:r>
          </w:p>
        </w:tc>
        <w:tc>
          <w:tcPr>
            <w:tcW w:w="15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Chairman &amp; President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On May 12, 2026, ChipMOS TECHNOLOGIES INC. (the “Company”) (Taiwan Stock Exchange: 8150 and Nasdaq: IMOS) held the 17</w:t>
      </w:r>
      <w:r>
        <w:rPr>
          <w:rFonts w:ascii="Times New Roman" w:hAnsi="Times New Roman"/>
          <w:color w:val="000000"/>
          <w:sz w:val="15"/>
        </w:rPr>
        <w:t>th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2"/>
        </w:rPr>
        <w:t>meeting of its 11</w:t>
      </w:r>
      <w:r>
        <w:rPr>
          <w:rFonts w:ascii="Times New Roman" w:hAnsi="Times New Roman"/>
          <w:color w:val="000000"/>
          <w:sz w:val="15"/>
        </w:rPr>
        <w:t>th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2"/>
        </w:rPr>
        <w:t>Board of Directors (the “Board”), at which time the following matter was resolved with a public announcement made in Taiwan regarding such resolution: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The Company’s consolidated financial statements for the first quarter of 2026.</w:t>
      </w:r>
    </w:p>
    <w:p>
      <w:pPr>
        <w:pStyle w:val="TextBody"/>
        <w:bidi w:val="0"/>
        <w:spacing w:before="24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With respect to resolution 1, the Company’s consolidated results for the three-months period ended March 31, 2026 include: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operating revenue of NT$6,935,628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gross profit from operations of NT$955,465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operating profit of NT$519,677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profit before income tax of NT$598,149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profit of NT$504,892 thousand,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profit attributable to equity holders of the Company of NT$504,892 thousand,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- basic earnings per share of NT$0.72; and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as of March 31, 2026,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total assets of NT$44,831,224 thousand,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total liabilities of NT$20,223,938 thousand,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- equity attributable to equity holders of the Company of NT$24,607,286 thousand.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303</Words>
  <Characters>1638</Characters>
  <CharactersWithSpaces>1955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