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6-k-202606revenue.htm"/>
      <w:bookmarkStart w:id="1" w:name="ksimos6k202606revenu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July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21" w:type="dxa"/>
        <w:jc w:val="left"/>
        <w:tblInd w:w="0" w:type="dxa"/>
        <w:tblLayout w:type="fixed"/>
        <w:tblCellMar>
          <w:top w:w="28" w:type="dxa"/>
          <w:left w:w="28" w:type="dxa"/>
          <w:bottom w:w="28" w:type="dxa"/>
          <w:right w:w="28" w:type="dxa"/>
        </w:tblCellMar>
      </w:tblPr>
      <w:tblGrid>
        <w:gridCol w:w="1966"/>
        <w:gridCol w:w="109"/>
        <w:gridCol w:w="146"/>
        <w:gridCol w:w="109"/>
        <w:gridCol w:w="721"/>
        <w:gridCol w:w="109"/>
        <w:gridCol w:w="3361"/>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July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REPORTS RECORD HIGHEST MONTHLY AND QUARTERLY REVENUE SINCE 2014; REPORTS 37.2% YoY INCREASE IN JUNE 2026 REVENUE; 28.7% YoY INCREASE IN 2Q26 REVENUE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Hsinchu, Taiwan, July 10, 2026</w:t>
      </w:r>
      <w:r>
        <w:rPr>
          <w:rFonts w:ascii="Times New Roman" w:hAnsi="Times New Roman"/>
          <w:color w:val="000000"/>
          <w:sz w:val="20"/>
        </w:rPr>
        <w:t xml:space="preserve"> </w:t>
      </w:r>
      <w:r>
        <w:rPr>
          <w:rFonts w:ascii="Times New Roman" w:hAnsi="Times New Roman"/>
          <w:color w:val="000000"/>
          <w:sz w:val="22"/>
        </w:rPr>
        <w:t>- ChipMOS TECHNOLOGIES INC. (“ChipMOS” or the “Company”) (Taiwan Stock Exchange: 8150 and Nasdaq: IMOS), an industry leading provider of outsourced semiconductor assembly and test services (“OSAT”), today reported its unaudited consolidated revenue for the month of June 2026 and for the second quarter ended June 30, 2026. This represents the record highest monthly and quarter revenue since 2014. All U.S. dollar figures cited in this press release are based on the exchange rate of NT$31.85 to US$1.00 as of June 30,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noted it continues to benefit from ongoing revenue strength led by a persistent AI-related demand/supply imbalance. While the Company has been investing in footprint expansion, new capacity is being used to meet existing customer forecasts and long-term supply agreements as supply remains structurally tight and demand is accelerating.</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Revenue for the second quarter of 2026 was NT$7,383.1 million or US$231.8 million, representing an increase of 6.5% from the first quarter of 2026, and an increase of 28.7% from the second quarter of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Revenue for the month of June 2026 was NT$2,538.4 million or US$79.7 million, representing an increase of 6.5% from May 2026, and an increase of 37.2% from June 2025.</w:t>
      </w:r>
      <w:r>
        <w:rPr>
          <w:rFonts w:ascii="Times New Roman" w:hAnsi="Times New Roman"/>
          <w:color w:val="000000"/>
          <w:sz w:val="20"/>
        </w:rPr>
        <w:t xml:space="preserve"> </w:t>
      </w:r>
    </w:p>
    <w:p>
      <w:pPr>
        <w:pStyle w:val="TextBody"/>
        <w:bidi w:val="0"/>
        <w:jc w:val="left"/>
        <w:rPr/>
      </w:pPr>
      <w:r>
        <w:rPr/>
        <w:t> </w:t>
      </w:r>
    </w:p>
    <w:tbl>
      <w:tblPr>
        <w:tblW w:w="7596" w:type="dxa"/>
        <w:jc w:val="left"/>
        <w:tblInd w:w="0" w:type="dxa"/>
        <w:tblLayout w:type="fixed"/>
        <w:tblCellMar>
          <w:top w:w="28" w:type="dxa"/>
          <w:left w:w="28" w:type="dxa"/>
          <w:bottom w:w="28" w:type="dxa"/>
          <w:right w:w="28" w:type="dxa"/>
        </w:tblCellMar>
      </w:tblPr>
      <w:tblGrid>
        <w:gridCol w:w="1591"/>
        <w:gridCol w:w="1081"/>
        <w:gridCol w:w="1066"/>
        <w:gridCol w:w="1081"/>
        <w:gridCol w:w="139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596"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Monthly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2026</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May 2026</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2025</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MoM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2,538.4</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2,384.3</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1,849.7</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37.2%</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79.7</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74.9</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58.1</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37.2%</w:t>
            </w:r>
          </w:p>
        </w:tc>
      </w:tr>
    </w:tbl>
    <w:p>
      <w:pPr>
        <w:pStyle w:val="TextBody"/>
        <w:bidi w:val="0"/>
        <w:jc w:val="both"/>
        <w:rPr/>
      </w:pPr>
      <w:r>
        <w:rPr/>
        <w:t> </w:t>
      </w:r>
    </w:p>
    <w:tbl>
      <w:tblPr>
        <w:tblW w:w="8706" w:type="dxa"/>
        <w:jc w:val="left"/>
        <w:tblInd w:w="0" w:type="dxa"/>
        <w:tblLayout w:type="fixed"/>
        <w:tblCellMar>
          <w:top w:w="28" w:type="dxa"/>
          <w:left w:w="28" w:type="dxa"/>
          <w:bottom w:w="28" w:type="dxa"/>
          <w:right w:w="28" w:type="dxa"/>
        </w:tblCellMar>
      </w:tblPr>
      <w:tblGrid>
        <w:gridCol w:w="1591"/>
        <w:gridCol w:w="1561"/>
        <w:gridCol w:w="1276"/>
        <w:gridCol w:w="1561"/>
        <w:gridCol w:w="133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8706"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Quarterly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Second Quarter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2026</w:t>
            </w:r>
          </w:p>
        </w:tc>
        <w:tc>
          <w:tcPr>
            <w:tcW w:w="127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First Quarter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2026</w:t>
            </w:r>
          </w:p>
        </w:tc>
        <w:tc>
          <w:tcPr>
            <w:tcW w:w="15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Second Quarter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2025</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QoQ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7,383.1</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6,935.6</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5,735.8</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28.7%</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231.8</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217.8</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28.7%</w:t>
            </w:r>
          </w:p>
        </w:tc>
      </w:tr>
    </w:tbl>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sz w:val="20"/>
        </w:rPr>
      </w:pPr>
      <w:r>
        <w:rPr>
          <w:rFonts w:ascii="Times New Roman" w:hAnsi="Times New Roman"/>
          <w:color w:val="000000"/>
          <w:sz w:val="22"/>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4382</Characters>
  <CharactersWithSpaces>5092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