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bookmarkStart w:id="0" w:name="discloses_financial_info.htm"/>
      <w:bookmarkStart w:id="1" w:name="ksdiscloses_financial_info"/>
      <w:bookmarkEnd w:id="0"/>
      <w:bookmarkEnd w:id="1"/>
      <w:r>
        <w:rPr/>
        <w:t> </w:t>
      </w:r>
    </w:p>
    <w:p>
      <w:pPr>
        <w:pStyle w:val="TextBody"/>
        <w:bidi w:val="0"/>
        <w:spacing w:before="40" w:after="283"/>
        <w:jc w:val="center"/>
        <w:rPr>
          <w:rFonts w:ascii="Times New Roman" w:hAnsi="Times New Roman"/>
          <w:b/>
          <w:color w:val="000000"/>
          <w:sz w:val="36"/>
        </w:rPr>
      </w:pPr>
      <w:r>
        <w:rPr>
          <w:rFonts w:ascii="Times New Roman" w:hAnsi="Times New Roman"/>
          <w:b/>
          <w:color w:val="000000"/>
          <w:sz w:val="36"/>
        </w:rPr>
        <w:t>UNITED STATES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36"/>
        </w:rPr>
      </w:pPr>
      <w:r>
        <w:rPr>
          <w:rFonts w:ascii="Times New Roman" w:hAnsi="Times New Roman"/>
          <w:b/>
          <w:color w:val="000000"/>
          <w:sz w:val="36"/>
        </w:rPr>
        <w:t>SECURITIES AND EXCHANGE COMMISSION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Washington, DC 20549</w:t>
      </w:r>
    </w:p>
    <w:p>
      <w:pPr>
        <w:pStyle w:val="TextBody"/>
        <w:bidi w:val="0"/>
        <w:spacing w:before="200" w:after="283"/>
        <w:ind w:left="4320" w:right="4320" w:hanging="0"/>
        <w:jc w:val="center"/>
        <w:rPr>
          <w:rFonts w:ascii="Times New Roman" w:hAnsi="Times New Roman"/>
          <w:b/>
          <w:color w:val="000000"/>
          <w:sz w:val="36"/>
        </w:rPr>
      </w:pPr>
      <w:r>
        <w:rPr>
          <w:rFonts w:ascii="Times New Roman" w:hAnsi="Times New Roman"/>
          <w:b/>
          <w:color w:val="000000"/>
          <w:sz w:val="36"/>
        </w:rPr>
        <w:t>FORM 6-K</w:t>
      </w:r>
    </w:p>
    <w:p>
      <w:pPr>
        <w:pStyle w:val="TextBody"/>
        <w:bidi w:val="0"/>
        <w:spacing w:before="200" w:after="283"/>
        <w:ind w:left="4320" w:right="4320" w:hanging="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REPORT OF FOREIGN PRIVATE ISSUER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PURSUANT TO RULE 13a-16 OR 15d-16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UNDER THE SECURITIES EXCHANGE ACT OF 1934</w:t>
      </w:r>
    </w:p>
    <w:p>
      <w:pPr>
        <w:pStyle w:val="TextBody"/>
        <w:bidi w:val="0"/>
        <w:spacing w:before="240" w:after="283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For the month of July 2026</w:t>
      </w:r>
    </w:p>
    <w:p>
      <w:pPr>
        <w:pStyle w:val="TextBody"/>
        <w:bidi w:val="0"/>
        <w:spacing w:before="240" w:after="283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0"/>
        </w:rPr>
        <w:t>Commission File Number 001-37928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pBdr>
          <w:bottom w:val="single" w:sz="8" w:space="1" w:color="000000"/>
        </w:pBdr>
        <w:bidi w:val="0"/>
        <w:spacing w:before="0" w:after="40"/>
        <w:ind w:left="4320" w:right="4320" w:hanging="0"/>
        <w:jc w:val="left"/>
        <w:rPr/>
      </w:pPr>
      <w:r>
        <w:rPr/>
        <w:t> </w:t>
      </w:r>
    </w:p>
    <w:p>
      <w:pPr>
        <w:pStyle w:val="TextBody"/>
        <w:bidi w:val="0"/>
        <w:spacing w:before="200" w:after="283"/>
        <w:jc w:val="center"/>
        <w:rPr>
          <w:rFonts w:ascii="Times New Roman" w:hAnsi="Times New Roman"/>
          <w:b/>
          <w:color w:val="000000"/>
          <w:sz w:val="48"/>
        </w:rPr>
      </w:pPr>
      <w:r>
        <w:rPr>
          <w:rFonts w:ascii="Times New Roman" w:hAnsi="Times New Roman"/>
          <w:b/>
          <w:color w:val="000000"/>
          <w:sz w:val="48"/>
        </w:rPr>
        <w:t>ChipMOS TECHNOLOGIES INC.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(Translation of Registrant’s Name into English)</w:t>
      </w:r>
    </w:p>
    <w:p>
      <w:pPr>
        <w:pStyle w:val="TextBody"/>
        <w:bidi w:val="0"/>
        <w:spacing w:before="200" w:after="283"/>
        <w:ind w:left="4320" w:right="4320" w:hanging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No. 1, R&amp;D Rd. 1, Hsinchu Science Park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Hsinchu, Taiwan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Republic of China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16"/>
        </w:rPr>
      </w:pPr>
      <w:r>
        <w:rPr>
          <w:rFonts w:ascii="Times New Roman" w:hAnsi="Times New Roman"/>
          <w:b/>
          <w:color w:val="000000"/>
          <w:sz w:val="16"/>
        </w:rPr>
        <w:t>(Address of Principal Executive Offices)</w:t>
      </w:r>
    </w:p>
    <w:p>
      <w:pPr>
        <w:pStyle w:val="TextBody"/>
        <w:bidi w:val="0"/>
        <w:spacing w:before="200" w:after="283"/>
        <w:ind w:left="0" w:right="0" w:firstLine="490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(Indicate by check mark whether the registrant files or will file annual reports under cover of Form 20-F or Form 40-F.)</w:t>
      </w:r>
    </w:p>
    <w:p>
      <w:pPr>
        <w:pStyle w:val="TextBody"/>
        <w:bidi w:val="0"/>
        <w:spacing w:before="240" w:after="283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Form 20-F ☒ Form 40-F ☐</w:t>
      </w:r>
    </w:p>
    <w:p>
      <w:pPr>
        <w:pStyle w:val="TextBody"/>
        <w:pBdr>
          <w:bottom w:val="double" w:sz="4" w:space="1" w:color="000000"/>
        </w:pBdr>
        <w:bidi w:val="0"/>
        <w:spacing w:before="0" w:after="40"/>
        <w:jc w:val="left"/>
        <w:rPr/>
      </w:pPr>
      <w:r>
        <w:rPr/>
        <w:t> 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SIGNATURES</w:t>
      </w:r>
    </w:p>
    <w:p>
      <w:pPr>
        <w:pStyle w:val="TextBody"/>
        <w:bidi w:val="0"/>
        <w:spacing w:before="240" w:after="283"/>
        <w:ind w:left="0" w:right="0" w:firstLine="490"/>
        <w:jc w:val="left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jc w:val="left"/>
        <w:rPr/>
      </w:pPr>
      <w:r>
        <w:rPr/>
        <w:t> </w:t>
      </w:r>
    </w:p>
    <w:tbl>
      <w:tblPr>
        <w:tblW w:w="652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66"/>
        <w:gridCol w:w="109"/>
        <w:gridCol w:w="146"/>
        <w:gridCol w:w="109"/>
        <w:gridCol w:w="721"/>
        <w:gridCol w:w="109"/>
        <w:gridCol w:w="3361"/>
      </w:tblGrid>
      <w:tr>
        <w:trPr/>
        <w:tc>
          <w:tcPr>
            <w:tcW w:w="19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6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pBdr>
                <w:bottom w:val="single" w:sz="6" w:space="1" w:color="000000"/>
              </w:pBdr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ChipMOS TECHNOLOGIES INC.</w:t>
            </w:r>
          </w:p>
        </w:tc>
      </w:tr>
      <w:tr>
        <w:trPr/>
        <w:tc>
          <w:tcPr>
            <w:tcW w:w="196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0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(Registrant)</w:t>
            </w:r>
          </w:p>
        </w:tc>
      </w:tr>
      <w:tr>
        <w:trPr/>
        <w:tc>
          <w:tcPr>
            <w:tcW w:w="196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55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30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470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96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Date: July 30, 2026</w:t>
            </w:r>
          </w:p>
        </w:tc>
        <w:tc>
          <w:tcPr>
            <w:tcW w:w="10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By</w:t>
            </w:r>
          </w:p>
        </w:tc>
        <w:tc>
          <w:tcPr>
            <w:tcW w:w="10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pBdr>
                <w:bottom w:val="single" w:sz="6" w:space="1" w:color="000000"/>
              </w:pBdr>
              <w:bidi w:val="0"/>
              <w:spacing w:before="0" w:after="20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/S/ S. J. Cheng</w:t>
            </w:r>
          </w:p>
        </w:tc>
      </w:tr>
      <w:tr>
        <w:trPr/>
        <w:tc>
          <w:tcPr>
            <w:tcW w:w="196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Name:</w:t>
            </w:r>
          </w:p>
        </w:tc>
        <w:tc>
          <w:tcPr>
            <w:tcW w:w="10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S. J. Cheng</w:t>
            </w:r>
          </w:p>
        </w:tc>
      </w:tr>
      <w:tr>
        <w:trPr/>
        <w:tc>
          <w:tcPr>
            <w:tcW w:w="196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Title:</w:t>
            </w:r>
          </w:p>
        </w:tc>
        <w:tc>
          <w:tcPr>
            <w:tcW w:w="109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Chairman &amp; President</w:t>
            </w:r>
          </w:p>
        </w:tc>
      </w:tr>
    </w:tbl>
    <w:p>
      <w:pPr>
        <w:pStyle w:val="TextBody"/>
        <w:bidi w:val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Below is the English version of our filing at Market Observation Post System (MOPS) of Taiwan Stock Exchange Corporation (TWSE) on July 30, 2026.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Date of announcement: 2026/07/30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2"/>
        </w:rPr>
        <w:t>Subject: Because the Company</w:t>
      </w:r>
      <w:r>
        <w:rPr>
          <w:rFonts w:ascii="Times New Roman" w:hAnsi="Times New Roman"/>
          <w:color w:val="000000"/>
          <w:sz w:val="20"/>
        </w:rPr>
        <w:t>’</w:t>
      </w:r>
      <w:r>
        <w:rPr>
          <w:rFonts w:ascii="Times New Roman" w:hAnsi="Times New Roman"/>
          <w:color w:val="000000"/>
          <w:sz w:val="22"/>
        </w:rPr>
        <w:t>s securities reached the disclosure threshold for trading information set by TWSE, Company discloses relevant financial information for investors</w:t>
      </w:r>
      <w:r>
        <w:rPr>
          <w:rFonts w:ascii="Times New Roman" w:hAnsi="Times New Roman"/>
          <w:color w:val="000000"/>
          <w:sz w:val="20"/>
        </w:rPr>
        <w:t xml:space="preserve">’ </w:t>
      </w:r>
      <w:r>
        <w:rPr>
          <w:rFonts w:ascii="Times New Roman" w:hAnsi="Times New Roman"/>
          <w:color w:val="000000"/>
          <w:sz w:val="22"/>
        </w:rPr>
        <w:t>reference.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Date of events: 2026/07/30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To which item it meets: Article 4, Paragraph 1, Item 51 of the Taiwan Stock Exchange Corporation Procedures for Verification and Disclosure of Material Information of Companies with Listed Securities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Statement: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1.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Date of occurrence of the event: 2026/07/30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2.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Cause of occurrence: Because the Company’s securities reached the disclosure threshold for trading information set by TWSE, the announcement is made pursuant to the notice of TWSE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3.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 xml:space="preserve">Financial and business information: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07"/>
        <w:gridCol w:w="146"/>
        <w:gridCol w:w="1514"/>
        <w:gridCol w:w="146"/>
        <w:gridCol w:w="715"/>
        <w:gridCol w:w="146"/>
        <w:gridCol w:w="1502"/>
        <w:gridCol w:w="146"/>
        <w:gridCol w:w="715"/>
        <w:gridCol w:w="146"/>
        <w:gridCol w:w="2322"/>
      </w:tblGrid>
      <w:tr>
        <w:trPr/>
        <w:tc>
          <w:tcPr>
            <w:tcW w:w="27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07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Period</w:t>
            </w:r>
          </w:p>
        </w:tc>
        <w:tc>
          <w:tcPr>
            <w:tcW w:w="14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375" w:type="dxa"/>
            <w:gridSpan w:val="3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Month</w:t>
            </w:r>
          </w:p>
        </w:tc>
        <w:tc>
          <w:tcPr>
            <w:tcW w:w="14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363" w:type="dxa"/>
            <w:gridSpan w:val="3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Quarter</w:t>
            </w:r>
          </w:p>
        </w:tc>
        <w:tc>
          <w:tcPr>
            <w:tcW w:w="14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322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Recent 4 quarter accumulation</w:t>
            </w:r>
          </w:p>
        </w:tc>
      </w:tr>
      <w:tr>
        <w:trPr/>
        <w:tc>
          <w:tcPr>
            <w:tcW w:w="2707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Account</w:t>
            </w:r>
          </w:p>
        </w:tc>
        <w:tc>
          <w:tcPr>
            <w:tcW w:w="14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514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Most recent month</w:t>
            </w:r>
          </w:p>
          <w:p>
            <w:pPr>
              <w:pStyle w:val="TableContents"/>
              <w:bidi w:val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(May 2026)</w:t>
            </w:r>
          </w:p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(Unaudited)</w:t>
            </w:r>
          </w:p>
        </w:tc>
        <w:tc>
          <w:tcPr>
            <w:tcW w:w="14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715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YoY%</w:t>
            </w:r>
          </w:p>
        </w:tc>
        <w:tc>
          <w:tcPr>
            <w:tcW w:w="14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502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Most recent quarter</w:t>
            </w:r>
          </w:p>
          <w:p>
            <w:pPr>
              <w:pStyle w:val="TableContents"/>
              <w:bidi w:val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(2026Q1)</w:t>
            </w:r>
          </w:p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(Review)</w:t>
            </w:r>
          </w:p>
        </w:tc>
        <w:tc>
          <w:tcPr>
            <w:tcW w:w="14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715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YoY%</w:t>
            </w:r>
          </w:p>
        </w:tc>
        <w:tc>
          <w:tcPr>
            <w:tcW w:w="14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322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2025Q2~2026Q1</w:t>
            </w:r>
          </w:p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(Audit/Review)</w:t>
            </w:r>
          </w:p>
        </w:tc>
      </w:tr>
      <w:tr>
        <w:trPr/>
        <w:tc>
          <w:tcPr>
            <w:tcW w:w="2707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Revenue</w:t>
            </w:r>
          </w:p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(NT$ million)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514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2,384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715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17.7%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502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6,936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715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25.4%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322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25,336</w:t>
            </w:r>
          </w:p>
        </w:tc>
      </w:tr>
      <w:tr>
        <w:trPr/>
        <w:tc>
          <w:tcPr>
            <w:tcW w:w="2707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Net profit before tax</w:t>
            </w:r>
          </w:p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(NT$ million)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514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234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715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171.6%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502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598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715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202.0%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322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987</w:t>
            </w:r>
          </w:p>
        </w:tc>
      </w:tr>
      <w:tr>
        <w:trPr/>
        <w:tc>
          <w:tcPr>
            <w:tcW w:w="2707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Profit attributable to owners of parent</w:t>
            </w:r>
          </w:p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(NT$ million)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514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212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715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174.1%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502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505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715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186.9%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322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824</w:t>
            </w:r>
          </w:p>
        </w:tc>
      </w:tr>
      <w:tr>
        <w:trPr/>
        <w:tc>
          <w:tcPr>
            <w:tcW w:w="2707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EPS</w:t>
            </w:r>
          </w:p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(unit:NT$)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514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0.30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715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175.0%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502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0.72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715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200.0%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322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1"/>
              </w:rPr>
            </w:pPr>
            <w:r>
              <w:rPr>
                <w:rFonts w:ascii="Times New Roman" w:hAnsi="Times New Roman"/>
                <w:color w:val="000000"/>
                <w:sz w:val="21"/>
              </w:rPr>
              <w:t>1.17</w:t>
            </w:r>
          </w:p>
        </w:tc>
      </w:tr>
    </w:tbl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4.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Any matters regarding to “Taiwan Stock Exchange Corporation Procedure for Verification and Disclosure of Material Information of Companies with Listed Securities” Article 4 that need to be specified: None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5.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Any matters regarding to “Taiwan Stock Exchange Corporation Procedure for Verification and Disclosure of Material Information of Companies with Listed Securities” Article 11 that need to be specified: None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6.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 xml:space="preserve">Please inquiry the items of financial Information on the website of MOPS, and the paths as follow: </w:t>
      </w:r>
    </w:p>
    <w:p>
      <w:pPr>
        <w:pStyle w:val="TextBody"/>
        <w:bidi w:val="0"/>
        <w:spacing w:before="120" w:after="283"/>
        <w:ind w:left="489" w:right="0" w:hanging="0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(1)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 xml:space="preserve">Current sales revenue/income(loss): Summaries&gt;Financial Information applicable after adopting IFRSs </w:t>
      </w:r>
    </w:p>
    <w:p>
      <w:pPr>
        <w:pStyle w:val="TextBody"/>
        <w:bidi w:val="0"/>
        <w:spacing w:before="120" w:after="283"/>
        <w:ind w:left="489" w:right="0" w:hanging="0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(2)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 xml:space="preserve">Historic sales revenue per month: Operating Statements&gt;Monthly Sales Revenue&gt; Statement of Sales Revenue (after adopting IFRSs) </w:t>
      </w:r>
    </w:p>
    <w:p>
      <w:pPr>
        <w:pStyle w:val="TextBody"/>
        <w:bidi w:val="0"/>
        <w:spacing w:before="120" w:after="283"/>
        <w:ind w:left="489" w:right="0" w:hanging="0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(3)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 xml:space="preserve">Historic income or loss (audited/reviewed by the CPA): Financial Statements&gt; FINANCIAL STATEMENT after adopting IFRSs&gt;Balance Sheet/Income Statement </w:t>
      </w:r>
    </w:p>
    <w:p>
      <w:pPr>
        <w:pStyle w:val="TextBody"/>
        <w:bidi w:val="0"/>
        <w:spacing w:before="120" w:after="283"/>
        <w:ind w:left="489" w:right="0" w:hanging="0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(4)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 xml:space="preserve">Historic income or loss (self-assessed): Operating Statements&gt;Self-assessed income or loss: 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7.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Any other matters that need to be specified: None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478</Words>
  <Characters>2770</Characters>
  <CharactersWithSpaces>3210</CharactersWithSpaces>
  <Paragraphs>153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