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discloses_financial_info.htm"/>
      <w:bookmarkStart w:id="1" w:name="ksdiscloses_financial_info"/>
      <w:bookmarkEnd w:id="0"/>
      <w:bookmarkEnd w:id="1"/>
      <w:r>
        <w:rPr/>
        <w:t> </w:t>
      </w:r>
    </w:p>
    <w:p>
      <w:pPr>
        <w:pStyle w:val="TextBody"/>
        <w:bidi w:val="0"/>
        <w:spacing w:before="40" w:after="283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DC 20549</w:t>
      </w:r>
    </w:p>
    <w:p>
      <w:pPr>
        <w:pStyle w:val="TextBody"/>
        <w:bidi w:val="0"/>
        <w:spacing w:before="200" w:after="283"/>
        <w:ind w:left="4320" w:right="4320" w:hanging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</w:p>
    <w:p>
      <w:pPr>
        <w:pStyle w:val="TextBody"/>
        <w:bidi w:val="0"/>
        <w:spacing w:before="200" w:after="283"/>
        <w:ind w:left="4320" w:right="4320" w:hanging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REPORT OF FOREIGN PRIVATE ISSUER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PURSUANT TO RULE 13a-16 OR 15d-16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UNDER THE SECURITIES EXCHANGE ACT OF 1934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For the month of September 2026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001-37928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pBdr>
          <w:bottom w:val="single" w:sz="8" w:space="1" w:color="000000"/>
        </w:pBdr>
        <w:bidi w:val="0"/>
        <w:spacing w:before="0" w:after="40"/>
        <w:ind w:left="4320" w:right="4320" w:hanging="0"/>
        <w:jc w:val="left"/>
        <w:rPr/>
      </w:pPr>
      <w:r>
        <w:rPr/>
        <w:t> </w:t>
      </w:r>
    </w:p>
    <w:p>
      <w:pPr>
        <w:pStyle w:val="TextBody"/>
        <w:bidi w:val="0"/>
        <w:spacing w:before="200" w:after="283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ChipMOS TECHNOLOGIES INC.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(Translation of Registrant’s Name into English)</w:t>
      </w:r>
    </w:p>
    <w:p>
      <w:pPr>
        <w:pStyle w:val="TextBody"/>
        <w:bidi w:val="0"/>
        <w:spacing w:before="200" w:after="283"/>
        <w:ind w:left="4320" w:right="4320" w:hanging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No. 1, R&amp;D Rd. 1, Hsinchu Science Park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Hsinchu, Taiwan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Republic of China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16"/>
        </w:rPr>
      </w:pPr>
      <w:r>
        <w:rPr>
          <w:rFonts w:ascii="Times New Roman" w:hAnsi="Times New Roman"/>
          <w:b/>
          <w:color w:val="000000"/>
          <w:sz w:val="16"/>
        </w:rPr>
        <w:t>(Address of Principal Executive Offices)</w:t>
      </w:r>
    </w:p>
    <w:p>
      <w:pPr>
        <w:pStyle w:val="TextBody"/>
        <w:bidi w:val="0"/>
        <w:spacing w:before="200" w:after="283"/>
        <w:ind w:left="0" w:right="0" w:firstLine="49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(Indicate by check mark whether the registrant files or will file annual reports under cover of Form 20-F or Form 40-F.)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 20-F ☒ Form 40-F ☐</w:t>
      </w:r>
    </w:p>
    <w:p>
      <w:pPr>
        <w:pStyle w:val="TextBody"/>
        <w:pBdr>
          <w:bottom w:val="double" w:sz="4" w:space="1" w:color="000000"/>
        </w:pBdr>
        <w:bidi w:val="0"/>
        <w:spacing w:before="0" w:after="4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SIGNATURES</w:t>
      </w:r>
    </w:p>
    <w:p>
      <w:pPr>
        <w:pStyle w:val="TextBody"/>
        <w:bidi w:val="0"/>
        <w:spacing w:before="240" w:after="283"/>
        <w:ind w:left="0" w:right="0" w:firstLine="490"/>
        <w:jc w:val="left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71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6"/>
        <w:gridCol w:w="109"/>
        <w:gridCol w:w="146"/>
        <w:gridCol w:w="109"/>
        <w:gridCol w:w="721"/>
        <w:gridCol w:w="109"/>
        <w:gridCol w:w="3361"/>
      </w:tblGrid>
      <w:tr>
        <w:trPr/>
        <w:tc>
          <w:tcPr>
            <w:tcW w:w="25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ChipMOS TECHNOLOGIES INC.</w:t>
            </w:r>
          </w:p>
        </w:tc>
      </w:tr>
      <w:tr>
        <w:trPr/>
        <w:tc>
          <w:tcPr>
            <w:tcW w:w="25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(Registrant)</w:t>
            </w:r>
          </w:p>
        </w:tc>
      </w:tr>
      <w:tr>
        <w:trPr/>
        <w:tc>
          <w:tcPr>
            <w:tcW w:w="25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55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0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470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5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Date: September 29, 2026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By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/S/ S. J. Cheng</w:t>
            </w:r>
          </w:p>
        </w:tc>
      </w:tr>
      <w:tr>
        <w:trPr/>
        <w:tc>
          <w:tcPr>
            <w:tcW w:w="25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Name: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S. J. Cheng</w:t>
            </w:r>
          </w:p>
        </w:tc>
      </w:tr>
      <w:tr>
        <w:trPr/>
        <w:tc>
          <w:tcPr>
            <w:tcW w:w="25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Title: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Chairman &amp; President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Below is the English version of our filing at Market Observation Post System (MOPS) of Taiwan Stock Exchange Corporation (TWSE) on September 29, 2026.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announcement: 2026/09/29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Subject: Because the Company</w:t>
      </w:r>
      <w:r>
        <w:rPr>
          <w:rFonts w:ascii="Times New Roman" w:hAnsi="Times New Roman"/>
          <w:color w:val="000000"/>
          <w:sz w:val="20"/>
        </w:rPr>
        <w:t>’</w:t>
      </w:r>
      <w:r>
        <w:rPr>
          <w:rFonts w:ascii="Times New Roman" w:hAnsi="Times New Roman"/>
          <w:color w:val="000000"/>
          <w:sz w:val="22"/>
        </w:rPr>
        <w:t>s securities reached the disclosure threshold for trading information set by TWSE, Company discloses relevant financial information for investors</w:t>
      </w:r>
      <w:r>
        <w:rPr>
          <w:rFonts w:ascii="Times New Roman" w:hAnsi="Times New Roman"/>
          <w:color w:val="000000"/>
          <w:sz w:val="20"/>
        </w:rPr>
        <w:t xml:space="preserve">’ </w:t>
      </w:r>
      <w:r>
        <w:rPr>
          <w:rFonts w:ascii="Times New Roman" w:hAnsi="Times New Roman"/>
          <w:color w:val="000000"/>
          <w:sz w:val="22"/>
        </w:rPr>
        <w:t>reference.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events: 2026/09/29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To which item it meets: Article 4, Paragraph 1, Item 51 of the Taiwan Stock Exchange Corporation Procedures for Verification and Disclosure of Material Information of Companies with Listed Securities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Statement: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occurrence of the event: 2026/09/29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2.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Cause of occurrence: Because the Company’s securities reached the disclosure threshold for trading information set by TWSE, the announcement is made pursuant to the notice of TWSE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3.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Financial and business information: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07"/>
        <w:gridCol w:w="146"/>
        <w:gridCol w:w="1514"/>
        <w:gridCol w:w="146"/>
        <w:gridCol w:w="715"/>
        <w:gridCol w:w="146"/>
        <w:gridCol w:w="1502"/>
        <w:gridCol w:w="146"/>
        <w:gridCol w:w="715"/>
        <w:gridCol w:w="146"/>
        <w:gridCol w:w="2322"/>
      </w:tblGrid>
      <w:tr>
        <w:trPr/>
        <w:tc>
          <w:tcPr>
            <w:tcW w:w="27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7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Period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75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Month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63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Quarter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Recent 4 quarter accumulation</w:t>
            </w:r>
          </w:p>
        </w:tc>
      </w:tr>
      <w:tr>
        <w:trPr/>
        <w:tc>
          <w:tcPr>
            <w:tcW w:w="2707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Account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Most recent month</w:t>
            </w:r>
          </w:p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(August 2026)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(Unaudited)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YoY%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Most recent quarter</w:t>
            </w:r>
          </w:p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(2026Q2)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(Review)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YoY%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2025Q3~2026Q2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(Audit/Review)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Revenue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(NT$ million)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2,786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33.3%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7,383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28.7%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26,983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Net profit before tax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(NT$ million)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530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114.6%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1,027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255.4%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2,675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Profit attributable to owners of parent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(NT$ million)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433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117.6%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892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267.4%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2,248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EPS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(unit:NT$)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0.62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121.4%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1.28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270.7%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3.21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4.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matters regarding to “Taiwan Stock Exchange Corporation Procedure for Verification and Disclosure of Material Information of Companies with Listed Securities” Article 4 that need to be specified: None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5.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matters regarding to “Taiwan Stock Exchange Corporation Procedure for Verification and Disclosure of Material Information of Companies with Listed Securities” Article 11 that need to be specified: None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Please inquiry the items of financial Information on the website of MOPS, and the paths as follow: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(1)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Current sales revenue/income(loss): Summaries&gt;Financial Information applicable after adopting IFRSs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(2)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Historic sales revenue per month: Operating Statements&gt;Monthly Sales Revenue&gt; Statement of Sales Revenue (after adopting IFRSs)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(3)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Historic income or loss (audited/reviewed by the CPA): Financial Statements&gt; FINANCIAL STATEMENT after adopting IFRSs&gt;Balance Sheet/Income Statement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(4)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Historic income or loss (self-assessed): Operating Statements&gt;Self-assessed income or loss: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7.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other matters that need to be specified: None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478</Words>
  <Characters>2794</Characters>
  <CharactersWithSpaces>3234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